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18"/>
              </w:rPr>
              <w:t xml:space="preserve">Постановление Правительства ХМАО - Югры от 30.12.2021 N 640-п</w:t>
              <w:br/>
              <w:t xml:space="preserve">(ред. от 06.10.2023)</w:t>
              <w:br/>
              <w:t xml:space="preserve">"О мерах по реализации государственной программы Ханты-Мансийского автономного округа - Югры "Культурное пространство"</w:t>
              <w:br/>
              <w:t xml:space="preserve">(вместе с "Порядком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сфере архивного дела",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государственную поддержку отрасли культура в части обеспечения муниципальных учреждений культуры специализированным автотранспортом для обслуживания населения, в том числе за счет средств федерального бюджета", "Порядком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виртуальных концертных залов, в том числе за счет средств федерального бюджета",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поддержку творческой деятельности и техническое оснащение детских и кукольных театров, в том числе за счет средств федерального бюджета", "Порядком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модельных муниципальных библиотек, в том числе за счет средств федерального бюджета",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модернизацию муниципальных учреждений культуры, в том числе за счет средств федерального бюджета", "Порядком предоставления и распределения субсидии из бюджета Ханты-Мансийского автономного округа - Югры автономной некоммерческой организации "Мультимедийный исторический парк "Моя история" на осуществление деятельности, реализацию мероприятий, направленных на научно-исследовательскую деятельность",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приобретение музыкальных инструментов, оборудования и материалов для детских школ искусств по видам искусств, в том числе за счет средств федерального бюджета",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развитие сферы культуры в Ханты-Мансийском автономном округе - Югре",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развитие культуры в части комплектования книжных фондов библиотек муниципальных образований Ханты-Мансийского автономного округа - Югры, в том числе за счет средств федерального бюджета",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строительство (реконструкцию) объектов, предназначенных для размещения муниципальных учреждений культуры",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в том числе за счет средств федерального бюджета",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техническое оснащение муниципальных музеев, в том числе за счет средств федерального бюджета", "Порядком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школ креативных индустрий, в том числе за счет средств федерального бюджета")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2021 г. N 640-п</w:t>
      </w:r>
    </w:p>
    <w:p>
      <w:pPr>
        <w:pStyle w:val="2"/>
        <w:jc w:val="center"/>
      </w:pPr>
      <w:r>
        <w:rPr>
          <w:sz w:val="20"/>
        </w:rPr>
      </w:r>
    </w:p>
    <w:p>
      <w:pPr>
        <w:pStyle w:val="2"/>
        <w:jc w:val="center"/>
      </w:pPr>
      <w:r>
        <w:rPr>
          <w:sz w:val="20"/>
        </w:rPr>
        <w:t xml:space="preserve">О МЕРАХ ПО РЕАЛИЗАЦИИ ГОСУДАРСТВЕННОЙ ПРОГРАММЫ</w:t>
      </w:r>
    </w:p>
    <w:p>
      <w:pPr>
        <w:pStyle w:val="2"/>
        <w:jc w:val="center"/>
      </w:pPr>
      <w:r>
        <w:rPr>
          <w:sz w:val="20"/>
        </w:rPr>
        <w:t xml:space="preserve">ХАНТЫ-МАНСИЙСКОГО АВТОНОМНОГО ОКРУГА - ЮГРЫ "КУЛЬТУРНОЕ</w:t>
      </w:r>
    </w:p>
    <w:p>
      <w:pPr>
        <w:pStyle w:val="2"/>
        <w:jc w:val="center"/>
      </w:pPr>
      <w:r>
        <w:rPr>
          <w:sz w:val="20"/>
        </w:rPr>
        <w:t xml:space="preserve">ПРОСТРАНСТВО"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04.02.2022 </w:t>
            </w:r>
            <w:hyperlink w:history="0" r:id="rId7" w:tooltip="Постановление Правительства ХМАО - Югры от 04.02.2022 N 39-п &quot;О внесении изменений в приложение 21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39-п</w:t>
              </w:r>
            </w:hyperlink>
            <w:r>
              <w:rPr>
                <w:sz w:val="20"/>
                <w:color w:val="392c69"/>
              </w:rPr>
              <w:t xml:space="preserve">,</w:t>
            </w:r>
          </w:p>
          <w:p>
            <w:pPr>
              <w:pStyle w:val="0"/>
              <w:jc w:val="center"/>
            </w:pPr>
            <w:r>
              <w:rPr>
                <w:sz w:val="20"/>
                <w:color w:val="392c69"/>
              </w:rPr>
              <w:t xml:space="preserve">от 09.02.2022 </w:t>
            </w:r>
            <w:hyperlink w:history="0" r:id="rId8" w:tooltip="Постановление Правительства ХМАО - Югры от 09.02.2022 N 46-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46-п</w:t>
              </w:r>
            </w:hyperlink>
            <w:r>
              <w:rPr>
                <w:sz w:val="20"/>
                <w:color w:val="392c69"/>
              </w:rPr>
              <w:t xml:space="preserve">, от 17.03.2022 </w:t>
            </w:r>
            <w:hyperlink w:history="0" r:id="rId9"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 от 03.06.2022 </w:t>
            </w:r>
            <w:hyperlink w:history="0" r:id="rId10"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245-п</w:t>
              </w:r>
            </w:hyperlink>
            <w:r>
              <w:rPr>
                <w:sz w:val="20"/>
                <w:color w:val="392c69"/>
              </w:rPr>
              <w:t xml:space="preserve">,</w:t>
            </w:r>
          </w:p>
          <w:p>
            <w:pPr>
              <w:pStyle w:val="0"/>
              <w:jc w:val="center"/>
            </w:pPr>
            <w:r>
              <w:rPr>
                <w:sz w:val="20"/>
                <w:color w:val="392c69"/>
              </w:rPr>
              <w:t xml:space="preserve">от 01.09.2022 </w:t>
            </w:r>
            <w:hyperlink w:history="0" r:id="rId11"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color w:val="392c69"/>
              </w:rPr>
              <w:t xml:space="preserve">, от 11.11.2022 </w:t>
            </w:r>
            <w:hyperlink w:history="0" r:id="rId12" w:tooltip="Постановление Правительства ХМАО - Югры от 11.11.2022 N 592-п &quot;О внесении изменений в приложение 18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592-п</w:t>
              </w:r>
            </w:hyperlink>
            <w:r>
              <w:rPr>
                <w:sz w:val="20"/>
                <w:color w:val="392c69"/>
              </w:rPr>
              <w:t xml:space="preserve">, от 13.01.2023 </w:t>
            </w:r>
            <w:hyperlink w:history="0" r:id="rId13"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p>
            <w:pPr>
              <w:pStyle w:val="0"/>
              <w:jc w:val="center"/>
            </w:pPr>
            <w:r>
              <w:rPr>
                <w:sz w:val="20"/>
                <w:color w:val="392c69"/>
              </w:rPr>
              <w:t xml:space="preserve">от 20.01.2023 </w:t>
            </w:r>
            <w:hyperlink w:history="0" r:id="rId14"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N 17-п</w:t>
              </w:r>
            </w:hyperlink>
            <w:r>
              <w:rPr>
                <w:sz w:val="20"/>
                <w:color w:val="392c69"/>
              </w:rPr>
              <w:t xml:space="preserve">, от 06.10.2023 </w:t>
            </w:r>
            <w:hyperlink w:history="0" r:id="rId15" w:tooltip="Постановление Правительства ХМАО - Югры от 06.10.2023 N 49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постановлениями Правительства Ханты-Мансийского автономного округа - Югры от 5 августа 2021 года </w:t>
      </w:r>
      <w:hyperlink w:history="0" r:id="rId16"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N 289-п</w:t>
        </w:r>
      </w:hyperlink>
      <w:r>
        <w:rPr>
          <w:sz w:val="20"/>
        </w:rPr>
        <w:t xml:space="preserve"> "О порядке разработки и реализации государственных программ Ханты-Мансийского автономного округа - Югры", от 31 октября 2021 года </w:t>
      </w:r>
      <w:hyperlink w:history="0" r:id="rId1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N 470-п</w:t>
        </w:r>
      </w:hyperlink>
      <w:r>
        <w:rPr>
          <w:sz w:val="20"/>
        </w:rPr>
        <w:t xml:space="preserve"> "О государственной программе Ханты-Мансийского автономного округа - Югры "Культурное пространство", учитывая решение Общественного совета при Департаменте культуры Ханты-Мансийского автономного округа - Югры (протокол заседания от 24 ноября 2021 года), Правительство Ханты-Мансийского автономного округа - Югры постановляет:</w:t>
      </w:r>
    </w:p>
    <w:bookmarkStart w:id="16" w:name="P16"/>
    <w:bookmarkEnd w:id="16"/>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95" w:tooltip="ПОРЯДОК">
        <w:r>
          <w:rPr>
            <w:sz w:val="20"/>
            <w:color w:val="0000ff"/>
          </w:rPr>
          <w:t xml:space="preserve">Порядок</w:t>
        </w:r>
      </w:hyperlink>
      <w:r>
        <w:rPr>
          <w:sz w:val="20"/>
        </w:rPr>
        <w:t xml:space="preserve">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сфере архивного дела (приложение 1).</w:t>
      </w:r>
    </w:p>
    <w:p>
      <w:pPr>
        <w:pStyle w:val="0"/>
        <w:jc w:val="both"/>
      </w:pPr>
      <w:r>
        <w:rPr>
          <w:sz w:val="20"/>
        </w:rPr>
        <w:t xml:space="preserve">(в ред. </w:t>
      </w:r>
      <w:hyperlink w:history="0" r:id="rId18"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1.2. </w:t>
      </w:r>
      <w:hyperlink w:history="0" w:anchor="P136"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государственную поддержку отрасли культура в части обеспечения муниципальных учреждений культуры специализированным автотранспортом для обслуживания населения, в том числе за счет средств федерального бюджета (приложение 2).</w:t>
      </w:r>
    </w:p>
    <w:p>
      <w:pPr>
        <w:pStyle w:val="0"/>
        <w:spacing w:before="200" w:line-rule="auto"/>
        <w:ind w:firstLine="540"/>
        <w:jc w:val="both"/>
      </w:pPr>
      <w:r>
        <w:rPr>
          <w:sz w:val="20"/>
        </w:rPr>
        <w:t xml:space="preserve">1.3. </w:t>
      </w:r>
      <w:hyperlink w:history="0" w:anchor="P235" w:tooltip="ПОРЯДОК">
        <w:r>
          <w:rPr>
            <w:sz w:val="20"/>
            <w:color w:val="0000ff"/>
          </w:rPr>
          <w:t xml:space="preserve">Порядок</w:t>
        </w:r>
      </w:hyperlink>
      <w:r>
        <w:rPr>
          <w:sz w:val="20"/>
        </w:rPr>
        <w:t xml:space="preserve">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виртуальных концертных залов, в том числе за счет средств федерального бюджета (приложение 3).</w:t>
      </w:r>
    </w:p>
    <w:p>
      <w:pPr>
        <w:pStyle w:val="0"/>
        <w:jc w:val="both"/>
      </w:pPr>
      <w:r>
        <w:rPr>
          <w:sz w:val="20"/>
        </w:rPr>
        <w:t xml:space="preserve">(пп. 1.3 в ред. </w:t>
      </w:r>
      <w:hyperlink w:history="0" r:id="rId19"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1.4. </w:t>
      </w:r>
      <w:hyperlink w:history="0" w:anchor="P285"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поддержку творческой деятельности и техническое оснащение детских и кукольных театров, в том числе за счет средств федерального бюджета (приложение 4).</w:t>
      </w:r>
    </w:p>
    <w:p>
      <w:pPr>
        <w:pStyle w:val="0"/>
        <w:jc w:val="both"/>
      </w:pPr>
      <w:r>
        <w:rPr>
          <w:sz w:val="20"/>
        </w:rPr>
        <w:t xml:space="preserve">(пп. 1.4 в ред. </w:t>
      </w:r>
      <w:hyperlink w:history="0" r:id="rId20"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1.5. Утратил силу с 20 января 2023 года. - </w:t>
      </w:r>
      <w:hyperlink w:history="0" r:id="rId21"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1.6. </w:t>
      </w:r>
      <w:hyperlink w:history="0" w:anchor="P420" w:tooltip="ПОРЯДОК">
        <w:r>
          <w:rPr>
            <w:sz w:val="20"/>
            <w:color w:val="0000ff"/>
          </w:rPr>
          <w:t xml:space="preserve">Порядок</w:t>
        </w:r>
      </w:hyperlink>
      <w:r>
        <w:rPr>
          <w:sz w:val="20"/>
        </w:rPr>
        <w:t xml:space="preserve">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модельных муниципальных библиотек, в том числе за счет средств федерального бюджета (приложение 6).</w:t>
      </w:r>
    </w:p>
    <w:p>
      <w:pPr>
        <w:pStyle w:val="0"/>
        <w:jc w:val="both"/>
      </w:pPr>
      <w:r>
        <w:rPr>
          <w:sz w:val="20"/>
        </w:rPr>
        <w:t xml:space="preserve">(в ред. </w:t>
      </w:r>
      <w:hyperlink w:history="0" r:id="rId22"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1.7. </w:t>
      </w:r>
      <w:hyperlink w:history="0" w:anchor="P480"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модернизацию муниципальных учреждений культуры, в том числе за счет средств федерального бюджета (приложение 7).</w:t>
      </w:r>
    </w:p>
    <w:p>
      <w:pPr>
        <w:pStyle w:val="0"/>
        <w:jc w:val="both"/>
      </w:pPr>
      <w:r>
        <w:rPr>
          <w:sz w:val="20"/>
        </w:rPr>
        <w:t xml:space="preserve">(пп. 1.7 в ред. </w:t>
      </w:r>
      <w:hyperlink w:history="0" r:id="rId23"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1.8. </w:t>
      </w:r>
      <w:hyperlink w:history="0" w:anchor="P596"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автономной некоммерческой организации "Мультимедийный исторический парк "Моя история" на осуществление деятельности, реализацию мероприятий, направленных на научно-исследовательскую деятельность (приложение 8).</w:t>
      </w:r>
    </w:p>
    <w:p>
      <w:pPr>
        <w:pStyle w:val="0"/>
        <w:jc w:val="both"/>
      </w:pPr>
      <w:r>
        <w:rPr>
          <w:sz w:val="20"/>
        </w:rPr>
        <w:t xml:space="preserve">(пп. 1.8 в ред. </w:t>
      </w:r>
      <w:hyperlink w:history="0" r:id="rId24"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1.9. </w:t>
      </w:r>
      <w:hyperlink w:history="0" w:anchor="P704"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приобретение музыкальных инструментов, оборудования и материалов для детских школ искусств по видам искусств, в том числе за счет средств федерального бюджета (приложение 9).</w:t>
      </w:r>
    </w:p>
    <w:p>
      <w:pPr>
        <w:pStyle w:val="0"/>
        <w:jc w:val="both"/>
      </w:pPr>
      <w:r>
        <w:rPr>
          <w:sz w:val="20"/>
        </w:rPr>
        <w:t xml:space="preserve">(пп. 1.9 в ред. </w:t>
      </w:r>
      <w:hyperlink w:history="0" r:id="rId25"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1.10. </w:t>
      </w:r>
      <w:hyperlink w:history="0" w:anchor="P794"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развитие сферы культуры в Ханты-Мансийском автономном округе - Югре (приложение 10).</w:t>
      </w:r>
    </w:p>
    <w:p>
      <w:pPr>
        <w:pStyle w:val="0"/>
        <w:jc w:val="both"/>
      </w:pPr>
      <w:r>
        <w:rPr>
          <w:sz w:val="20"/>
        </w:rPr>
        <w:t xml:space="preserve">(пп. 1.10 в ред. </w:t>
      </w:r>
      <w:hyperlink w:history="0" r:id="rId26"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1.11. </w:t>
      </w:r>
      <w:hyperlink w:history="0" w:anchor="P1112"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развитие культуры в части комплектования книжных фондов библиотек муниципальных образований Ханты-Мансийского автономного округа - Югры, в том числе за счет средств федерального бюджета (приложение 11).</w:t>
      </w:r>
    </w:p>
    <w:p>
      <w:pPr>
        <w:pStyle w:val="0"/>
        <w:spacing w:before="200" w:line-rule="auto"/>
        <w:ind w:firstLine="540"/>
        <w:jc w:val="both"/>
      </w:pPr>
      <w:r>
        <w:rPr>
          <w:sz w:val="20"/>
        </w:rPr>
        <w:t xml:space="preserve">1.12. </w:t>
      </w:r>
      <w:hyperlink w:history="0" w:anchor="P1209"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строительство (реконструкцию) объектов, предназначенных для размещения муниципальных учреждений культуры (приложение 12).</w:t>
      </w:r>
    </w:p>
    <w:p>
      <w:pPr>
        <w:pStyle w:val="0"/>
        <w:jc w:val="both"/>
      </w:pPr>
      <w:r>
        <w:rPr>
          <w:sz w:val="20"/>
        </w:rPr>
        <w:t xml:space="preserve">(пп. 1.12 в ред. </w:t>
      </w:r>
      <w:hyperlink w:history="0" r:id="rId27"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1.13. </w:t>
      </w:r>
      <w:hyperlink w:history="0" w:anchor="P1306"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в том числе за счет средств федерального бюджета (приложение 13).</w:t>
      </w:r>
    </w:p>
    <w:p>
      <w:pPr>
        <w:pStyle w:val="0"/>
        <w:jc w:val="both"/>
      </w:pPr>
      <w:r>
        <w:rPr>
          <w:sz w:val="20"/>
        </w:rPr>
        <w:t xml:space="preserve">(пп. 1.13 в ред. </w:t>
      </w:r>
      <w:hyperlink w:history="0" r:id="rId28"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1.14. </w:t>
      </w:r>
      <w:hyperlink w:history="0" w:anchor="P1425"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техническое оснащение муниципальных музеев, в том числе за счет средств федерального бюджета (приложение 14).</w:t>
      </w:r>
    </w:p>
    <w:p>
      <w:pPr>
        <w:pStyle w:val="0"/>
        <w:spacing w:before="200" w:line-rule="auto"/>
        <w:ind w:firstLine="540"/>
        <w:jc w:val="both"/>
      </w:pPr>
      <w:r>
        <w:rPr>
          <w:sz w:val="20"/>
        </w:rPr>
        <w:t xml:space="preserve">1.15. Утратил силу с 13 января 2023 года. - </w:t>
      </w:r>
      <w:hyperlink w:history="0" r:id="rId2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1.16. Утратил силу с 20 января 2023 года. - </w:t>
      </w:r>
      <w:hyperlink w:history="0" r:id="rId30"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1.17. </w:t>
      </w:r>
      <w:hyperlink w:history="0" w:anchor="P1579" w:tooltip="ПЛАН">
        <w:r>
          <w:rPr>
            <w:sz w:val="20"/>
            <w:color w:val="0000ff"/>
          </w:rPr>
          <w:t xml:space="preserve">План</w:t>
        </w:r>
      </w:hyperlink>
      <w:r>
        <w:rPr>
          <w:sz w:val="20"/>
        </w:rPr>
        <w:t xml:space="preserve"> основных мероприятий, посвященных 100-летию Московской Государственной академической филармонии в Ханты-Мансийском автономном округе - Югре (приложение 17).</w:t>
      </w:r>
    </w:p>
    <w:p>
      <w:pPr>
        <w:pStyle w:val="0"/>
        <w:spacing w:before="200" w:line-rule="auto"/>
        <w:ind w:firstLine="540"/>
        <w:jc w:val="both"/>
      </w:pPr>
      <w:r>
        <w:rPr>
          <w:sz w:val="20"/>
        </w:rPr>
        <w:t xml:space="preserve">1.18. </w:t>
      </w:r>
      <w:hyperlink w:history="0" w:anchor="P1630" w:tooltip="ПЛАН">
        <w:r>
          <w:rPr>
            <w:sz w:val="20"/>
            <w:color w:val="0000ff"/>
          </w:rPr>
          <w:t xml:space="preserve">План</w:t>
        </w:r>
      </w:hyperlink>
      <w:r>
        <w:rPr>
          <w:sz w:val="20"/>
        </w:rPr>
        <w:t xml:space="preserve"> основных мероприятий, посвященных празднованию 200-летия со дня рождения А.Н.Островского, в Ханты-Мансийском автономном округе - Югре (приложение 18).</w:t>
      </w:r>
    </w:p>
    <w:p>
      <w:pPr>
        <w:pStyle w:val="0"/>
        <w:spacing w:before="200" w:line-rule="auto"/>
        <w:ind w:firstLine="540"/>
        <w:jc w:val="both"/>
      </w:pPr>
      <w:r>
        <w:rPr>
          <w:sz w:val="20"/>
        </w:rPr>
        <w:t xml:space="preserve">1.19. </w:t>
      </w:r>
      <w:hyperlink w:history="0" w:anchor="P1693" w:tooltip="ПЛАН">
        <w:r>
          <w:rPr>
            <w:sz w:val="20"/>
            <w:color w:val="0000ff"/>
          </w:rPr>
          <w:t xml:space="preserve">План</w:t>
        </w:r>
      </w:hyperlink>
      <w:r>
        <w:rPr>
          <w:sz w:val="20"/>
        </w:rPr>
        <w:t xml:space="preserve"> основных мероприятий, посвященных 350-летию со дня рождения Петра I, в Ханты-Мансийском автономном округе - Югре (приложение 19).</w:t>
      </w:r>
    </w:p>
    <w:p>
      <w:pPr>
        <w:pStyle w:val="0"/>
        <w:spacing w:before="200" w:line-rule="auto"/>
        <w:ind w:firstLine="540"/>
        <w:jc w:val="both"/>
      </w:pPr>
      <w:r>
        <w:rPr>
          <w:sz w:val="20"/>
        </w:rPr>
        <w:t xml:space="preserve">1.20. </w:t>
      </w:r>
      <w:hyperlink w:history="0" w:anchor="P1798" w:tooltip="ПЛАН">
        <w:r>
          <w:rPr>
            <w:sz w:val="20"/>
            <w:color w:val="0000ff"/>
          </w:rPr>
          <w:t xml:space="preserve">План</w:t>
        </w:r>
      </w:hyperlink>
      <w:r>
        <w:rPr>
          <w:sz w:val="20"/>
        </w:rPr>
        <w:t xml:space="preserve"> основных мероприятий, посвященных увековечению памяти Геннадия Степановича Райшева (приложение 20).</w:t>
      </w:r>
    </w:p>
    <w:p>
      <w:pPr>
        <w:pStyle w:val="0"/>
        <w:spacing w:before="200" w:line-rule="auto"/>
        <w:ind w:firstLine="540"/>
        <w:jc w:val="both"/>
      </w:pPr>
      <w:r>
        <w:rPr>
          <w:sz w:val="20"/>
        </w:rPr>
        <w:t xml:space="preserve">1.21. </w:t>
      </w:r>
      <w:hyperlink w:history="0" w:anchor="P1877" w:tooltip="ПЛАН">
        <w:r>
          <w:rPr>
            <w:sz w:val="20"/>
            <w:color w:val="0000ff"/>
          </w:rPr>
          <w:t xml:space="preserve">План</w:t>
        </w:r>
      </w:hyperlink>
      <w:r>
        <w:rPr>
          <w:sz w:val="20"/>
        </w:rPr>
        <w:t xml:space="preserve"> основных мероприятий, посвященных празднованию 150-летия со дня рождения С.В.Рахманинова, в Ханты-Мансийском автономном округе - Югре (приложение 21).</w:t>
      </w:r>
    </w:p>
    <w:p>
      <w:pPr>
        <w:pStyle w:val="0"/>
        <w:spacing w:before="200" w:line-rule="auto"/>
        <w:ind w:firstLine="540"/>
        <w:jc w:val="both"/>
      </w:pPr>
      <w:r>
        <w:rPr>
          <w:sz w:val="20"/>
        </w:rPr>
        <w:t xml:space="preserve">1.22. </w:t>
      </w:r>
      <w:hyperlink w:history="0" w:anchor="P1956" w:tooltip="ПЕРЕЧЕНЬ">
        <w:r>
          <w:rPr>
            <w:sz w:val="20"/>
            <w:color w:val="0000ff"/>
          </w:rPr>
          <w:t xml:space="preserve">Перечень</w:t>
        </w:r>
      </w:hyperlink>
      <w:r>
        <w:rPr>
          <w:sz w:val="20"/>
        </w:rPr>
        <w:t xml:space="preserve"> памятников архитектуры и градостроительства, требующих проведения ремонтно-реставрационных работ (приложение 22).</w:t>
      </w:r>
    </w:p>
    <w:p>
      <w:pPr>
        <w:pStyle w:val="0"/>
        <w:spacing w:before="200" w:line-rule="auto"/>
        <w:ind w:firstLine="540"/>
        <w:jc w:val="both"/>
      </w:pPr>
      <w:r>
        <w:rPr>
          <w:sz w:val="20"/>
        </w:rPr>
        <w:t xml:space="preserve">1.23. </w:t>
      </w:r>
      <w:hyperlink w:history="0" w:anchor="P2002" w:tooltip="ПЛАН">
        <w:r>
          <w:rPr>
            <w:sz w:val="20"/>
            <w:color w:val="0000ff"/>
          </w:rPr>
          <w:t xml:space="preserve">План</w:t>
        </w:r>
      </w:hyperlink>
      <w:r>
        <w:rPr>
          <w:sz w:val="20"/>
        </w:rPr>
        <w:t xml:space="preserve"> основных мероприятий, посвященных проведению в Ханты-Мансийском автономном округе - Югре Года культурного наследия народов России (приложение 23).</w:t>
      </w:r>
    </w:p>
    <w:p>
      <w:pPr>
        <w:pStyle w:val="0"/>
        <w:jc w:val="both"/>
      </w:pPr>
      <w:r>
        <w:rPr>
          <w:sz w:val="20"/>
        </w:rPr>
        <w:t xml:space="preserve">(пп. 1.23 введен </w:t>
      </w:r>
      <w:hyperlink w:history="0" r:id="rId31" w:tooltip="Постановление Правительства ХМАО - Югры от 09.02.2022 N 46-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09.02.2022 N 46-п)</w:t>
      </w:r>
    </w:p>
    <w:p>
      <w:pPr>
        <w:pStyle w:val="0"/>
        <w:spacing w:before="200" w:line-rule="auto"/>
        <w:ind w:firstLine="540"/>
        <w:jc w:val="both"/>
      </w:pPr>
      <w:r>
        <w:rPr>
          <w:sz w:val="20"/>
        </w:rPr>
        <w:t xml:space="preserve">1.24. </w:t>
      </w:r>
      <w:hyperlink w:history="0" w:anchor="P2385" w:tooltip="ПЛАН">
        <w:r>
          <w:rPr>
            <w:sz w:val="20"/>
            <w:color w:val="0000ff"/>
          </w:rPr>
          <w:t xml:space="preserve">План</w:t>
        </w:r>
      </w:hyperlink>
      <w:r>
        <w:rPr>
          <w:sz w:val="20"/>
        </w:rPr>
        <w:t xml:space="preserve"> основных мероприятий, посвященных празднованию в Ханты-Мансийском автономном округе - Югре 250-летия Государственного академического Большого театра России (приложение 24).</w:t>
      </w:r>
    </w:p>
    <w:p>
      <w:pPr>
        <w:pStyle w:val="0"/>
        <w:jc w:val="both"/>
      </w:pPr>
      <w:r>
        <w:rPr>
          <w:sz w:val="20"/>
        </w:rPr>
        <w:t xml:space="preserve">(пп. 1.24 введен </w:t>
      </w:r>
      <w:hyperlink w:history="0" r:id="rId32"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03.06.2022 N 245-п)</w:t>
      </w:r>
    </w:p>
    <w:p>
      <w:pPr>
        <w:pStyle w:val="0"/>
        <w:spacing w:before="200" w:line-rule="auto"/>
        <w:ind w:firstLine="540"/>
        <w:jc w:val="both"/>
      </w:pPr>
      <w:r>
        <w:rPr>
          <w:sz w:val="20"/>
        </w:rPr>
        <w:t xml:space="preserve">1.25. </w:t>
      </w:r>
      <w:hyperlink w:history="0" w:anchor="P2464" w:tooltip="ПОРЯДОК">
        <w:r>
          <w:rPr>
            <w:sz w:val="20"/>
            <w:color w:val="0000ff"/>
          </w:rPr>
          <w:t xml:space="preserve">Порядок</w:t>
        </w:r>
      </w:hyperlink>
      <w:r>
        <w:rPr>
          <w:sz w:val="20"/>
        </w:rPr>
        <w:t xml:space="preserve">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на создание школ креативных индустрий, в том числе за счет средств федерального бюджета (приложение 25).</w:t>
      </w:r>
    </w:p>
    <w:p>
      <w:pPr>
        <w:pStyle w:val="0"/>
        <w:jc w:val="both"/>
      </w:pPr>
      <w:r>
        <w:rPr>
          <w:sz w:val="20"/>
        </w:rPr>
        <w:t xml:space="preserve">(пп. 1.25 введен </w:t>
      </w:r>
      <w:hyperlink w:history="0" r:id="rId33"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13.01.2023 N 2-п)</w:t>
      </w:r>
    </w:p>
    <w:p>
      <w:pPr>
        <w:pStyle w:val="0"/>
        <w:spacing w:before="200" w:line-rule="auto"/>
        <w:ind w:firstLine="540"/>
        <w:jc w:val="both"/>
      </w:pPr>
      <w:r>
        <w:rPr>
          <w:sz w:val="20"/>
        </w:rPr>
        <w:t xml:space="preserve">2. Меры, указанные в </w:t>
      </w:r>
      <w:hyperlink w:history="0" w:anchor="P16" w:tooltip="1. Утвердить:">
        <w:r>
          <w:rPr>
            <w:sz w:val="20"/>
            <w:color w:val="0000ff"/>
          </w:rPr>
          <w:t xml:space="preserve">пункте 1</w:t>
        </w:r>
      </w:hyperlink>
      <w:r>
        <w:rPr>
          <w:sz w:val="20"/>
        </w:rPr>
        <w:t xml:space="preserve"> настоящего постановления, являются составной частью государственной </w:t>
      </w:r>
      <w:hyperlink w:history="0" r:id="rId3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Ханты-Мансийского автономного округа - Югры "Культурное пространство", утвержденной постановлением Правительства Ханты-Мансийского автономного округа - Югры от 31 октября 2021 года N 470-п.</w:t>
      </w:r>
    </w:p>
    <w:p>
      <w:pPr>
        <w:pStyle w:val="0"/>
        <w:spacing w:before="200" w:line-rule="auto"/>
        <w:ind w:firstLine="540"/>
        <w:jc w:val="both"/>
      </w:pPr>
      <w:r>
        <w:rPr>
          <w:sz w:val="20"/>
        </w:rPr>
        <w:t xml:space="preserve">3. Признать утратившими силу постановления Правительства Ханты-Мансийского автономного округа - Югры:</w:t>
      </w:r>
    </w:p>
    <w:p>
      <w:pPr>
        <w:pStyle w:val="0"/>
        <w:spacing w:before="200" w:line-rule="auto"/>
        <w:ind w:firstLine="540"/>
        <w:jc w:val="both"/>
      </w:pPr>
      <w:r>
        <w:rPr>
          <w:sz w:val="20"/>
        </w:rPr>
        <w:t xml:space="preserve">от 5 октября 2018 года </w:t>
      </w:r>
      <w:hyperlink w:history="0" r:id="rId35"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N 341-п</w:t>
        </w:r>
      </w:hyperlink>
      <w:r>
        <w:rPr>
          <w:sz w:val="20"/>
        </w:rPr>
        <w:t xml:space="preserve">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21 декабря 2018 года </w:t>
      </w:r>
      <w:hyperlink w:history="0" r:id="rId36" w:tooltip="Постановление Правительства ХМАО - Югры от 21.12.2018 N 494-п &quot;О внесении изменений в приложение к постановлению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494-п</w:t>
        </w:r>
      </w:hyperlink>
      <w:r>
        <w:rPr>
          <w:sz w:val="20"/>
        </w:rPr>
        <w:t xml:space="preserve"> "О внесении изменений в приложение к постановлению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13 февраля 2019 года </w:t>
      </w:r>
      <w:hyperlink w:history="0" r:id="rId37" w:tooltip="Постановление Правительства ХМАО - Югры от 13.02.2019 N 39-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39-п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11 марта 2019 года </w:t>
      </w:r>
      <w:hyperlink w:history="0" r:id="rId38" w:tooltip="Постановление Правительства ХМАО - Югры от 11.03.2019 N 80-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80-п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12 апреля 2019 года </w:t>
      </w:r>
      <w:hyperlink w:history="0" r:id="rId39" w:tooltip="Постановление Правительства ХМАО - Югры от 12.04.2019 N 120-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120-п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5 июля 2019 года </w:t>
      </w:r>
      <w:hyperlink w:history="0" r:id="rId40" w:tooltip="Постановление Правительства ХМАО - Югры от 05.07.2019 N 213-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213-п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3 октября 2019 года </w:t>
      </w:r>
      <w:hyperlink w:history="0" r:id="rId41" w:tooltip="Постановление Правительства ХМАО - Югры от 03.10.2019 N 347-п &quot;О внесении изменений в приложение 1 к постановлению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347-п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18 октября 2019 года </w:t>
      </w:r>
      <w:hyperlink w:history="0" r:id="rId42" w:tooltip="Постановление Правительства ХМАО - Югры от 18.10.2019 N 380-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380-п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13 декабря 2019 года </w:t>
      </w:r>
      <w:hyperlink w:history="0" r:id="rId43" w:tooltip="Постановление Правительства ХМАО - Югры от 13.12.2019 N 489-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489-п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20 марта 2020 года </w:t>
      </w:r>
      <w:hyperlink w:history="0" r:id="rId44" w:tooltip="Постановление Правительства ХМАО - Югры от 20.03.2020 N 81-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81-п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10 апреля 2020 года </w:t>
      </w:r>
      <w:hyperlink w:history="0" r:id="rId45" w:tooltip="Постановление Правительства ХМАО - Югры от 10.04.2020 N 119-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119-п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15 мая 2020 года </w:t>
      </w:r>
      <w:hyperlink w:history="0" r:id="rId46" w:tooltip="Постановление Правительства ХМАО - Югры от 15.05.2020 N 191-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191-п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22 мая 2020 года </w:t>
      </w:r>
      <w:hyperlink w:history="0" r:id="rId47" w:tooltip="Постановление Правительства ХМАО - Югры от 22.05.2020 N 216-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216-п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23 октября 2020 года </w:t>
      </w:r>
      <w:hyperlink w:history="0" r:id="rId48" w:tooltip="Постановление Правительства ХМАО - Югры от 23.10.2020 N 458-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458-п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4 декабря 2020 года </w:t>
      </w:r>
      <w:hyperlink w:history="0" r:id="rId49" w:tooltip="Постановление Правительства ХМАО - Югры от 04.12.2020 N 540-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540-п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29 декабря 2020 года </w:t>
      </w:r>
      <w:hyperlink w:history="0" r:id="rId50" w:tooltip="Постановление Правительства ХМАО - Югры от 29.12.2020 N 627-п &quot;О внесении изменений в приложение 1 к постановлению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627-п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26 марта 2021 года </w:t>
      </w:r>
      <w:hyperlink w:history="0" r:id="rId51" w:tooltip="Постановление Правительства ХМАО - Югры от 26.03.2021 N 91-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91-п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16 апреля 2021 года </w:t>
      </w:r>
      <w:hyperlink w:history="0" r:id="rId52" w:tooltip="Постановление Правительства ХМАО - Югры от 16.04.2021 N 128-п &quot;О внесении изменения в приложение 1 к постановлению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128-п</w:t>
        </w:r>
      </w:hyperlink>
      <w:r>
        <w:rPr>
          <w:sz w:val="20"/>
        </w:rPr>
        <w:t xml:space="preserve"> "О внесении изменения в приложение 1 к постановлению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27 апреля 2021 года </w:t>
      </w:r>
      <w:hyperlink w:history="0" r:id="rId53" w:tooltip="Постановление Правительства ХМАО - Югры от 27.04.2021 N 149-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149-п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15 октября 2021 года </w:t>
      </w:r>
      <w:hyperlink w:history="0" r:id="rId54" w:tooltip="Постановление Правительства ХМАО - Югры от 15.10.2021 N 438-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438-п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от 20 декабря 2021 года </w:t>
      </w:r>
      <w:hyperlink w:history="0" r:id="rId55" w:tooltip="Постановление Правительства ХМАО - Югры от 20.12.2021 N 572-п &quot;О внесении изменений в постановление Правительства Ханты-Мансийского автономного округа - Югры от 5 октября 2018 года N 341-п &quot;О государственной программе Ханты-Мансийского автономного округа - Югры &quot;Культурное пространство&quot; ------------ Утратил силу или отменен {КонсультантПлюс}">
        <w:r>
          <w:rPr>
            <w:sz w:val="20"/>
            <w:color w:val="0000ff"/>
          </w:rPr>
          <w:t xml:space="preserve">N 572-п</w:t>
        </w:r>
      </w:hyperlink>
      <w:r>
        <w:rPr>
          <w:sz w:val="20"/>
        </w:rPr>
        <w:t xml:space="preserve"> "О внесении изменений в постановление Правительства Ханты-Мансийского автономного округа - Югры от 5 октября 2018 года N 341-п "О государственной программе Ханты-Мансийского автономного округа - Югры "Культурное пространство".</w:t>
      </w:r>
    </w:p>
    <w:p>
      <w:pPr>
        <w:pStyle w:val="0"/>
        <w:spacing w:before="200" w:line-rule="auto"/>
        <w:ind w:firstLine="540"/>
        <w:jc w:val="both"/>
      </w:pPr>
      <w:r>
        <w:rPr>
          <w:sz w:val="20"/>
        </w:rPr>
        <w:t xml:space="preserve">4. Настоящее постановление вступает в силу с 1 января 2022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95" w:name="P95"/>
    <w:bookmarkEnd w:id="95"/>
    <w:p>
      <w:pPr>
        <w:pStyle w:val="2"/>
        <w:jc w:val="center"/>
      </w:pPr>
      <w:r>
        <w:rPr>
          <w:sz w:val="20"/>
        </w:rPr>
        <w:t xml:space="preserve">ПОРЯДОК</w:t>
      </w:r>
    </w:p>
    <w:p>
      <w:pPr>
        <w:pStyle w:val="2"/>
        <w:jc w:val="center"/>
      </w:pPr>
      <w:r>
        <w:rPr>
          <w:sz w:val="20"/>
        </w:rPr>
        <w:t xml:space="preserve">РАСХОДОВАНИЯ СУБВЕНЦИЙ, ПРЕДОСТАВЛЯЕМЫХ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ДЛЯ ОСУЩЕСТВЛЕНИЯ ПЕРЕДАННЫХ</w:t>
      </w:r>
    </w:p>
    <w:p>
      <w:pPr>
        <w:pStyle w:val="2"/>
        <w:jc w:val="center"/>
      </w:pPr>
      <w:r>
        <w:rPr>
          <w:sz w:val="20"/>
        </w:rPr>
        <w:t xml:space="preserve">ОРГАНАМ МЕСТНОГО САМОУПРАВЛЕНИЯ МУНИЦИПАЛЬНЫХ ОБРАЗОВАНИЙ</w:t>
      </w:r>
    </w:p>
    <w:p>
      <w:pPr>
        <w:pStyle w:val="2"/>
        <w:jc w:val="center"/>
      </w:pPr>
      <w:r>
        <w:rPr>
          <w:sz w:val="20"/>
        </w:rPr>
        <w:t xml:space="preserve">ХАНТЫ-МАНСИЙСКОГО АВТОНОМНОГО ОКРУГА - ЮГРЫ ОТДЕЛЬНЫХ</w:t>
      </w:r>
    </w:p>
    <w:p>
      <w:pPr>
        <w:pStyle w:val="2"/>
        <w:jc w:val="center"/>
      </w:pPr>
      <w:r>
        <w:rPr>
          <w:sz w:val="20"/>
        </w:rPr>
        <w:t xml:space="preserve">ГОСУДАРСТВЕННЫХ ПОЛНОМОЧИЙ В СФЕРЕ АРХИВНОГО ДЕЛА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56"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01.09.2022 </w:t>
            </w:r>
            <w:hyperlink w:history="0" r:id="rId57"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color w:val="392c69"/>
              </w:rPr>
              <w:t xml:space="preserve">, от 06.10.2023 </w:t>
            </w:r>
            <w:hyperlink w:history="0" r:id="rId58" w:tooltip="Постановление Правительства ХМАО - Югры от 06.10.2023 N 49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направления и условия расходования субвенций, предоставляемых из бюджета Ханты-Мансийского автономного округа - Югры (далее - автономный округ) бюджетам городских округов и муниципальных районов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в сфере архивного дела (далее - Субвенции, переданные государственные полномочия).</w:t>
      </w:r>
    </w:p>
    <w:p>
      <w:pPr>
        <w:pStyle w:val="0"/>
        <w:spacing w:before="200" w:line-rule="auto"/>
        <w:ind w:firstLine="540"/>
        <w:jc w:val="both"/>
      </w:pPr>
      <w:r>
        <w:rPr>
          <w:sz w:val="20"/>
        </w:rPr>
        <w:t xml:space="preserve">2. Субвенции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5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мероприятия 3.3</w:t>
        </w:r>
      </w:hyperlink>
      <w:r>
        <w:rPr>
          <w:sz w:val="20"/>
        </w:rPr>
        <w:t xml:space="preserve">. "Развитие архивного дела" подпрограммы 3 "Организационные, экономические механизмы развития культуры, архивного дела и историко-культурного наследия"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w:t>
      </w:r>
    </w:p>
    <w:p>
      <w:pPr>
        <w:pStyle w:val="0"/>
        <w:jc w:val="both"/>
      </w:pPr>
      <w:r>
        <w:rPr>
          <w:sz w:val="20"/>
        </w:rPr>
        <w:t xml:space="preserve">(в ред. </w:t>
      </w:r>
      <w:hyperlink w:history="0" r:id="rId60"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3. Субвенции предоставляются бюджетам муниципальных районов и городских округов автономного округа (далее - муниципальные образования) в пределах бюджетных ассигнований, рассчитанных в соответствии с методикой расчета объема субвенций, установленной </w:t>
      </w:r>
      <w:hyperlink w:history="0" r:id="rId61" w:tooltip="Закон ХМАО - Югры от 18.10.2010 N 149-оз (ред. от 27.10.2022)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quot; (принят Думой Ханты-Мансийского автономного округа - Югры 15.10.2010) (с изм. и доп., вступающими в силу с 01.01.2023) {КонсультантПлюс}">
        <w:r>
          <w:rPr>
            <w:sz w:val="20"/>
            <w:color w:val="0000ff"/>
          </w:rPr>
          <w:t xml:space="preserve">Законом</w:t>
        </w:r>
      </w:hyperlink>
      <w:r>
        <w:rPr>
          <w:sz w:val="20"/>
        </w:rPr>
        <w:t xml:space="preserve"> автономного округа от 18 октября 2010 года N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 и расходуются по следующим направлениям:</w:t>
      </w:r>
    </w:p>
    <w:p>
      <w:pPr>
        <w:pStyle w:val="0"/>
        <w:jc w:val="both"/>
      </w:pPr>
      <w:r>
        <w:rPr>
          <w:sz w:val="20"/>
        </w:rPr>
        <w:t xml:space="preserve">(в ред. </w:t>
      </w:r>
      <w:hyperlink w:history="0" r:id="rId62" w:tooltip="Постановление Правительства ХМАО - Югры от 06.10.2023 N 49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06.10.2023 N 496-п)</w:t>
      </w:r>
    </w:p>
    <w:p>
      <w:pPr>
        <w:pStyle w:val="0"/>
        <w:spacing w:before="200" w:line-rule="auto"/>
        <w:ind w:firstLine="540"/>
        <w:jc w:val="both"/>
      </w:pPr>
      <w:r>
        <w:rPr>
          <w:sz w:val="20"/>
        </w:rPr>
        <w:t xml:space="preserve">на оплату договоров возмездного оказания услуг, выполнения работ и поставки товаров, аренды, купли-продажи, заключенных уполномоченным органом местного самоуправления муниципального образования в целях осуществления переданных государственных полномочий;</w:t>
      </w:r>
    </w:p>
    <w:p>
      <w:pPr>
        <w:pStyle w:val="0"/>
        <w:spacing w:before="200" w:line-rule="auto"/>
        <w:ind w:firstLine="540"/>
        <w:jc w:val="both"/>
      </w:pPr>
      <w:r>
        <w:rPr>
          <w:sz w:val="20"/>
        </w:rPr>
        <w:t xml:space="preserve">на материально-техническое обеспечение деятельности специалистов, осуществляющих работу, связанную с выполнением переданных государственных полномочий.</w:t>
      </w:r>
    </w:p>
    <w:p>
      <w:pPr>
        <w:pStyle w:val="0"/>
        <w:spacing w:before="200" w:line-rule="auto"/>
        <w:ind w:firstLine="540"/>
        <w:jc w:val="both"/>
      </w:pPr>
      <w:r>
        <w:rPr>
          <w:sz w:val="20"/>
        </w:rPr>
        <w:t xml:space="preserve">4. Предоставление Субвенций осуществляется в соответствии с </w:t>
      </w:r>
      <w:hyperlink w:history="0" r:id="rId63" w:tooltip="Приказ Департамента финансов ХМАО - Югры от 16.01.2018 N 4-нп (ред. от 26.01.2021) &quot;О Порядке санкционирования оплаты денежных обязательств получателей средств бюджета Ханты-Мансийского автономного округа - Югры и главных администраторов источников финансирования дефицита бюджета Ханты-Мансийского автономного округа - Югры&quot; {КонсультантПлюс}">
        <w:r>
          <w:rPr>
            <w:sz w:val="20"/>
            <w:color w:val="0000ff"/>
          </w:rPr>
          <w:t xml:space="preserve">пунктом 13</w:t>
        </w:r>
      </w:hyperlink>
      <w:r>
        <w:rPr>
          <w:sz w:val="20"/>
        </w:rPr>
        <w:t xml:space="preserve"> Порядка санкционирования оплаты денежных обязательств получателей средств бюджета автономного округа и главных администраторов источников финансирования дефицита бюджета автономного округа, утвержденного приказом Департамента финансов автономного округа.</w:t>
      </w:r>
    </w:p>
    <w:p>
      <w:pPr>
        <w:pStyle w:val="0"/>
        <w:jc w:val="both"/>
      </w:pPr>
      <w:r>
        <w:rPr>
          <w:sz w:val="20"/>
        </w:rPr>
        <w:t xml:space="preserve">(п. 4 в ред. </w:t>
      </w:r>
      <w:hyperlink w:history="0" r:id="rId64" w:tooltip="Постановление Правительства ХМАО - Югры от 06.10.2023 N 49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06.10.2023 N 496-п)</w:t>
      </w:r>
    </w:p>
    <w:p>
      <w:pPr>
        <w:pStyle w:val="0"/>
        <w:spacing w:before="200" w:line-rule="auto"/>
        <w:ind w:firstLine="540"/>
        <w:jc w:val="both"/>
      </w:pPr>
      <w:r>
        <w:rPr>
          <w:sz w:val="20"/>
        </w:rPr>
        <w:t xml:space="preserve">5. Отчетность об использовании Субвенций представляют финансовые органы муниципальных образований по формам и в сроки, установленные Службой для представления такой отчетности.</w:t>
      </w:r>
    </w:p>
    <w:p>
      <w:pPr>
        <w:pStyle w:val="0"/>
        <w:jc w:val="both"/>
      </w:pPr>
      <w:r>
        <w:rPr>
          <w:sz w:val="20"/>
        </w:rPr>
        <w:t xml:space="preserve">(п. 5 в ред. </w:t>
      </w:r>
      <w:hyperlink w:history="0" r:id="rId65"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6. Служба ежеквартально представляет в Департамент финансов автономного округа в установленные им сроки сводный отчет о расходовании средств предоставленных Субвенций в разрезе муниципальных образований.</w:t>
      </w:r>
    </w:p>
    <w:p>
      <w:pPr>
        <w:pStyle w:val="0"/>
        <w:spacing w:before="200" w:line-rule="auto"/>
        <w:ind w:firstLine="540"/>
        <w:jc w:val="both"/>
      </w:pPr>
      <w:r>
        <w:rPr>
          <w:sz w:val="20"/>
        </w:rPr>
        <w:t xml:space="preserve">7. Субвенции носят целевой характер, в случае выявления фактов их нецелевого использования к нарушителям применяются меры принуждения, установленные бюджетным законодательством.</w:t>
      </w:r>
    </w:p>
    <w:p>
      <w:pPr>
        <w:pStyle w:val="0"/>
        <w:spacing w:before="200" w:line-rule="auto"/>
        <w:ind w:firstLine="540"/>
        <w:jc w:val="both"/>
      </w:pPr>
      <w:r>
        <w:rPr>
          <w:sz w:val="20"/>
        </w:rPr>
        <w:t xml:space="preserve">8. За нецелевое использование Субвенций уполномоченные органы местного самоуправления муниципальных образований автономного округа несут ответственность согласно законодательству Российской Федерации.</w:t>
      </w:r>
    </w:p>
    <w:p>
      <w:pPr>
        <w:pStyle w:val="0"/>
        <w:spacing w:before="200" w:line-rule="auto"/>
        <w:ind w:firstLine="540"/>
        <w:jc w:val="both"/>
      </w:pPr>
      <w:r>
        <w:rPr>
          <w:sz w:val="20"/>
        </w:rPr>
        <w:t xml:space="preserve">9. Контроль целевого использования Субвенций осуществляют Служба и иные исполнительные органы автономного округа, на которые возложены функции контроля и надзора в финансово-бюджетной сфере.</w:t>
      </w:r>
    </w:p>
    <w:p>
      <w:pPr>
        <w:pStyle w:val="0"/>
        <w:jc w:val="both"/>
      </w:pPr>
      <w:r>
        <w:rPr>
          <w:sz w:val="20"/>
        </w:rPr>
        <w:t xml:space="preserve">(в ред. </w:t>
      </w:r>
      <w:hyperlink w:history="0" r:id="rId66"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10. Субвенция,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36" w:name="P136"/>
    <w:bookmarkEnd w:id="136"/>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ГОСУДАРСТВЕННУЮ ПОДДЕРЖКУ</w:t>
      </w:r>
    </w:p>
    <w:p>
      <w:pPr>
        <w:pStyle w:val="2"/>
        <w:jc w:val="center"/>
      </w:pPr>
      <w:r>
        <w:rPr>
          <w:sz w:val="20"/>
        </w:rPr>
        <w:t xml:space="preserve">ОТРАСЛИ КУЛЬТУРА В ЧАСТИ ОБЕСПЕЧЕНИЯ МУНИЦИПАЛЬНЫХ</w:t>
      </w:r>
    </w:p>
    <w:p>
      <w:pPr>
        <w:pStyle w:val="2"/>
        <w:jc w:val="center"/>
      </w:pPr>
      <w:r>
        <w:rPr>
          <w:sz w:val="20"/>
        </w:rPr>
        <w:t xml:space="preserve">УЧРЕЖДЕНИЙ КУЛЬТУРЫ СПЕЦИАЛИЗИРОВАННЫМ АВТОТРАНСПОРТОМ</w:t>
      </w:r>
    </w:p>
    <w:p>
      <w:pPr>
        <w:pStyle w:val="2"/>
        <w:jc w:val="center"/>
      </w:pPr>
      <w:r>
        <w:rPr>
          <w:sz w:val="20"/>
        </w:rPr>
        <w:t xml:space="preserve">ДЛЯ ОБСЛУЖИВАНИЯ НАСЕЛЕНИЯ, В ТОМ ЧИСЛЕ ЗА СЧЕТ СРЕДСТВ</w:t>
      </w:r>
    </w:p>
    <w:p>
      <w:pPr>
        <w:pStyle w:val="2"/>
        <w:jc w:val="center"/>
      </w:pPr>
      <w:r>
        <w:rPr>
          <w:sz w:val="20"/>
        </w:rPr>
        <w:t xml:space="preserve">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color w:val="392c69"/>
              </w:rPr>
              <w:t xml:space="preserve"> Правительства ХМАО - Югры от 13.01.2023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субсидий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на государственную поддержку отрасли культура в части обеспечения муниципальных учреждений культуры специализированным автотранспортом для обслуживания населения, в том числе за счет средств федерального бюджета.</w:t>
      </w:r>
    </w:p>
    <w:p>
      <w:pPr>
        <w:pStyle w:val="0"/>
        <w:spacing w:before="200" w:line-rule="auto"/>
        <w:ind w:firstLine="540"/>
        <w:jc w:val="both"/>
      </w:pPr>
      <w:r>
        <w:rPr>
          <w:sz w:val="20"/>
        </w:rP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w:history="0" r:id="rId6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проекта</w:t>
        </w:r>
      </w:hyperlink>
      <w:r>
        <w:rPr>
          <w:sz w:val="20"/>
        </w:rPr>
        <w:t xml:space="preserve"> "Культурная среда" (далее - региональный проект)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Субсидия предоставляется в целях софинансирования расходных обязательств муниципальных образований, связанных с реализацией регионального проекта, предусматривающего обеспечение учреждений культуры специализированным автотранспортом для обслуживания населения (далее - автоклуб).</w:t>
      </w:r>
    </w:p>
    <w:p>
      <w:pPr>
        <w:pStyle w:val="0"/>
        <w:spacing w:before="200" w:line-rule="auto"/>
        <w:ind w:firstLine="540"/>
        <w:jc w:val="both"/>
      </w:pPr>
      <w:r>
        <w:rPr>
          <w:sz w:val="20"/>
        </w:rPr>
        <w:t xml:space="preserve">3. Субсидия предоставляется по результатам конкурсного отбора, порядок и сроки проведения которого, а также форма заявки для участия в конкурсе утверждается приказом Департамента культуры автономного округа (далее - Департамент), который размещается на официальном сайте Департамента и направляется в муниципальные образования посредством системы автоматизации делопроизводства и электронного документооборота "Дело".</w:t>
      </w:r>
    </w:p>
    <w:p>
      <w:pPr>
        <w:pStyle w:val="0"/>
        <w:spacing w:before="200" w:line-rule="auto"/>
        <w:ind w:firstLine="540"/>
        <w:jc w:val="both"/>
      </w:pPr>
      <w:r>
        <w:rPr>
          <w:sz w:val="20"/>
        </w:rPr>
        <w:t xml:space="preserve">4. Условиями предоставления Субсидии местному бюджету являются: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государственной </w:t>
      </w:r>
      <w:hyperlink w:history="0" r:id="rId6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наличие у муниципального образования потребности в приобретении автоклуба;</w:t>
      </w:r>
    </w:p>
    <w:p>
      <w:pPr>
        <w:pStyle w:val="0"/>
        <w:jc w:val="both"/>
      </w:pPr>
      <w:r>
        <w:rPr>
          <w:sz w:val="20"/>
        </w:rPr>
        <w:t xml:space="preserve">(абзац введен </w:t>
      </w:r>
      <w:hyperlink w:history="0" r:id="rId70"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13.01.2023 N 2-п)</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Субсидии (далее - Соглашение),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Критериями конкурсного отбора являются:</w:t>
      </w:r>
    </w:p>
    <w:p>
      <w:pPr>
        <w:pStyle w:val="0"/>
        <w:spacing w:before="200" w:line-rule="auto"/>
        <w:ind w:firstLine="540"/>
        <w:jc w:val="both"/>
      </w:pPr>
      <w:r>
        <w:rPr>
          <w:sz w:val="20"/>
        </w:rPr>
        <w:t xml:space="preserve">наличие у муниципального образования потребности в приобретении автоклуба;</w:t>
      </w:r>
    </w:p>
    <w:p>
      <w:pPr>
        <w:pStyle w:val="0"/>
        <w:jc w:val="both"/>
      </w:pPr>
      <w:r>
        <w:rPr>
          <w:sz w:val="20"/>
        </w:rPr>
        <w:t xml:space="preserve">(в ред. </w:t>
      </w:r>
      <w:hyperlink w:history="0" r:id="rId71"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направление в Департамент заявки о предоставлении Субсидии в срок и по форме, установленной приказом Департамента.</w:t>
      </w:r>
    </w:p>
    <w:bookmarkStart w:id="162" w:name="P162"/>
    <w:bookmarkEnd w:id="162"/>
    <w:p>
      <w:pPr>
        <w:pStyle w:val="0"/>
        <w:spacing w:before="200" w:line-rule="auto"/>
        <w:ind w:firstLine="540"/>
        <w:jc w:val="both"/>
      </w:pPr>
      <w:r>
        <w:rPr>
          <w:sz w:val="20"/>
        </w:rPr>
        <w:t xml:space="preserve">6.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w:history="0" r:id="rId72"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к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2267"/>
        <w:gridCol w:w="3686"/>
      </w:tblGrid>
      <w:tr>
        <w:tc>
          <w:tcPr>
            <w:tcW w:w="3119" w:type="dxa"/>
          </w:tcPr>
          <w:p>
            <w:pPr>
              <w:pStyle w:val="0"/>
              <w:jc w:val="center"/>
            </w:pPr>
            <w:r>
              <w:rPr>
                <w:sz w:val="20"/>
              </w:rPr>
              <w:t xml:space="preserve">Уровень расчетной бюджетной обеспеченности муниципального образования</w:t>
            </w:r>
          </w:p>
        </w:tc>
        <w:tc>
          <w:tcPr>
            <w:tcW w:w="2267" w:type="dxa"/>
          </w:tcPr>
          <w:p>
            <w:pPr>
              <w:pStyle w:val="0"/>
              <w:jc w:val="center"/>
            </w:pPr>
            <w:r>
              <w:rPr>
                <w:sz w:val="20"/>
              </w:rPr>
              <w:t xml:space="preserve">Группа муниципального образования</w:t>
            </w:r>
          </w:p>
        </w:tc>
        <w:tc>
          <w:tcPr>
            <w:tcW w:w="3686"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w:t>
            </w:r>
          </w:p>
        </w:tc>
      </w:tr>
      <w:tr>
        <w:tc>
          <w:tcPr>
            <w:tcW w:w="3119" w:type="dxa"/>
          </w:tcPr>
          <w:p>
            <w:pPr>
              <w:pStyle w:val="0"/>
            </w:pPr>
            <w:r>
              <w:rPr>
                <w:sz w:val="20"/>
              </w:rPr>
              <w:t xml:space="preserve">от 0 до 1,300</w:t>
            </w:r>
          </w:p>
        </w:tc>
        <w:tc>
          <w:tcPr>
            <w:tcW w:w="2267" w:type="dxa"/>
          </w:tcPr>
          <w:p>
            <w:pPr>
              <w:pStyle w:val="0"/>
            </w:pPr>
            <w:r>
              <w:rPr>
                <w:sz w:val="20"/>
              </w:rPr>
              <w:t xml:space="preserve">1</w:t>
            </w:r>
          </w:p>
        </w:tc>
        <w:tc>
          <w:tcPr>
            <w:tcW w:w="3686" w:type="dxa"/>
          </w:tcPr>
          <w:p>
            <w:pPr>
              <w:pStyle w:val="0"/>
              <w:jc w:val="center"/>
            </w:pPr>
            <w:r>
              <w:rPr>
                <w:sz w:val="20"/>
              </w:rPr>
              <w:t xml:space="preserve">95%</w:t>
            </w:r>
          </w:p>
        </w:tc>
      </w:tr>
      <w:tr>
        <w:tc>
          <w:tcPr>
            <w:tcW w:w="3119" w:type="dxa"/>
          </w:tcPr>
          <w:p>
            <w:pPr>
              <w:pStyle w:val="0"/>
            </w:pPr>
            <w:r>
              <w:rPr>
                <w:sz w:val="20"/>
              </w:rPr>
              <w:t xml:space="preserve">от 1,301 до 1,500</w:t>
            </w:r>
          </w:p>
        </w:tc>
        <w:tc>
          <w:tcPr>
            <w:tcW w:w="2267" w:type="dxa"/>
          </w:tcPr>
          <w:p>
            <w:pPr>
              <w:pStyle w:val="0"/>
            </w:pPr>
            <w:r>
              <w:rPr>
                <w:sz w:val="20"/>
              </w:rPr>
              <w:t xml:space="preserve">2</w:t>
            </w:r>
          </w:p>
        </w:tc>
        <w:tc>
          <w:tcPr>
            <w:tcW w:w="3686" w:type="dxa"/>
          </w:tcPr>
          <w:p>
            <w:pPr>
              <w:pStyle w:val="0"/>
              <w:jc w:val="center"/>
            </w:pPr>
            <w:r>
              <w:rPr>
                <w:sz w:val="20"/>
              </w:rPr>
              <w:t xml:space="preserve">90%</w:t>
            </w:r>
          </w:p>
        </w:tc>
      </w:tr>
      <w:tr>
        <w:tc>
          <w:tcPr>
            <w:tcW w:w="3119" w:type="dxa"/>
          </w:tcPr>
          <w:p>
            <w:pPr>
              <w:pStyle w:val="0"/>
            </w:pPr>
            <w:r>
              <w:rPr>
                <w:sz w:val="20"/>
              </w:rPr>
              <w:t xml:space="preserve">Свыше 1,501</w:t>
            </w:r>
          </w:p>
        </w:tc>
        <w:tc>
          <w:tcPr>
            <w:tcW w:w="2267" w:type="dxa"/>
          </w:tcPr>
          <w:p>
            <w:pPr>
              <w:pStyle w:val="0"/>
            </w:pPr>
            <w:r>
              <w:rPr>
                <w:sz w:val="20"/>
              </w:rPr>
              <w:t xml:space="preserve">3</w:t>
            </w:r>
          </w:p>
        </w:tc>
        <w:tc>
          <w:tcPr>
            <w:tcW w:w="3686" w:type="dxa"/>
          </w:tcPr>
          <w:p>
            <w:pPr>
              <w:pStyle w:val="0"/>
              <w:jc w:val="center"/>
            </w:pPr>
            <w:r>
              <w:rPr>
                <w:sz w:val="20"/>
              </w:rPr>
              <w:t xml:space="preserve">85%</w:t>
            </w:r>
          </w:p>
        </w:tc>
      </w:tr>
    </w:tbl>
    <w:p>
      <w:pPr>
        <w:pStyle w:val="0"/>
        <w:ind w:firstLine="540"/>
        <w:jc w:val="both"/>
      </w:pPr>
      <w:r>
        <w:rPr>
          <w:sz w:val="20"/>
        </w:rPr>
      </w:r>
    </w:p>
    <w:p>
      <w:pPr>
        <w:pStyle w:val="0"/>
        <w:ind w:firstLine="540"/>
        <w:jc w:val="both"/>
      </w:pPr>
      <w:r>
        <w:rPr>
          <w:sz w:val="20"/>
        </w:rPr>
        <w:t xml:space="preserve">7. Для участия в отборе муниципальное образование представляет в Департамент в срок, установленный приказом Департамента, следующие документы:</w:t>
      </w:r>
    </w:p>
    <w:p>
      <w:pPr>
        <w:pStyle w:val="0"/>
        <w:spacing w:before="200" w:line-rule="auto"/>
        <w:ind w:firstLine="540"/>
        <w:jc w:val="both"/>
      </w:pPr>
      <w:r>
        <w:rPr>
          <w:sz w:val="20"/>
        </w:rPr>
        <w:t xml:space="preserve">заявку на предоставление Субсидии;</w:t>
      </w:r>
    </w:p>
    <w:p>
      <w:pPr>
        <w:pStyle w:val="0"/>
        <w:spacing w:before="200" w:line-rule="auto"/>
        <w:ind w:firstLine="540"/>
        <w:jc w:val="both"/>
      </w:pPr>
      <w:r>
        <w:rPr>
          <w:sz w:val="20"/>
        </w:rPr>
        <w:t xml:space="preserve">пояснительную записку с обоснованием необходимости приобретения автоклуба;</w:t>
      </w:r>
    </w:p>
    <w:p>
      <w:pPr>
        <w:pStyle w:val="0"/>
        <w:spacing w:before="200" w:line-rule="auto"/>
        <w:ind w:firstLine="540"/>
        <w:jc w:val="both"/>
      </w:pPr>
      <w:r>
        <w:rPr>
          <w:sz w:val="20"/>
        </w:rPr>
        <w:t xml:space="preserve">информацию о стоимости планируемого к приобретению автоклуба (с указанием технических характеристик), подтверждаемую коммерческими предложениями не менее 3 поставщиков;</w:t>
      </w:r>
    </w:p>
    <w:p>
      <w:pPr>
        <w:pStyle w:val="0"/>
        <w:spacing w:before="200" w:line-rule="auto"/>
        <w:ind w:firstLine="540"/>
        <w:jc w:val="both"/>
      </w:pPr>
      <w:r>
        <w:rPr>
          <w:sz w:val="20"/>
        </w:rPr>
        <w:t xml:space="preserve">копию муниципального правового акта об утверждении муниципальной программы, направленную на достижение цели, соответствующую настоящему Порядку;</w:t>
      </w:r>
    </w:p>
    <w:p>
      <w:pPr>
        <w:pStyle w:val="0"/>
        <w:spacing w:before="200" w:line-rule="auto"/>
        <w:ind w:firstLine="540"/>
        <w:jc w:val="both"/>
      </w:pPr>
      <w:r>
        <w:rPr>
          <w:sz w:val="20"/>
        </w:rPr>
        <w:t xml:space="preserve">выписку из муниципального нормативного правового акта, подтверждающую наличие бюджетных ассигнований на исполнение расходных обязательств по софинансированию мероприятия или гарантийное письмо о выделении бюджетных ассигнований на исполнение расходных обязательств по софинансированию мероприятия на финансовый год, в котором предоставлена или планируется предоставление Субсидии.</w:t>
      </w:r>
    </w:p>
    <w:p>
      <w:pPr>
        <w:pStyle w:val="0"/>
        <w:jc w:val="both"/>
      </w:pPr>
      <w:r>
        <w:rPr>
          <w:sz w:val="20"/>
        </w:rPr>
        <w:t xml:space="preserve">(в ред. </w:t>
      </w:r>
      <w:hyperlink w:history="0" r:id="rId73"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8.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реализацию мероприятия по приобретению в муниципальную собственность автоклубов, к рассмотрению принимается заявка, зарегистрированная ранее в системе автоматизации делопроизводства и электронного документооборота "Дело".</w:t>
      </w:r>
    </w:p>
    <w:p>
      <w:pPr>
        <w:pStyle w:val="0"/>
        <w:spacing w:before="200" w:line-rule="auto"/>
        <w:ind w:firstLine="540"/>
        <w:jc w:val="both"/>
      </w:pPr>
      <w:r>
        <w:rPr>
          <w:sz w:val="20"/>
        </w:rPr>
        <w:t xml:space="preserve">9. 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w:history="0" r:id="rId7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22.1</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10. Объем Субсидии (Vi), предоставляемой i-муниципальному образованию автономного округа на соответствующий финансовый год, определяется по формуле:</w:t>
      </w:r>
    </w:p>
    <w:p>
      <w:pPr>
        <w:pStyle w:val="0"/>
        <w:ind w:firstLine="540"/>
        <w:jc w:val="both"/>
      </w:pPr>
      <w:r>
        <w:rPr>
          <w:sz w:val="20"/>
        </w:rPr>
      </w:r>
    </w:p>
    <w:p>
      <w:pPr>
        <w:pStyle w:val="0"/>
        <w:ind w:firstLine="540"/>
        <w:jc w:val="both"/>
      </w:pPr>
      <w:r>
        <w:rPr>
          <w:sz w:val="20"/>
        </w:rPr>
        <w:t xml:space="preserve">Vi = (Vобщ * Pi) / P, где:</w:t>
      </w:r>
    </w:p>
    <w:p>
      <w:pPr>
        <w:pStyle w:val="0"/>
        <w:ind w:firstLine="540"/>
        <w:jc w:val="both"/>
      </w:pPr>
      <w:r>
        <w:rPr>
          <w:sz w:val="20"/>
        </w:rPr>
      </w:r>
    </w:p>
    <w:p>
      <w:pPr>
        <w:pStyle w:val="0"/>
        <w:ind w:firstLine="540"/>
        <w:jc w:val="both"/>
      </w:pPr>
      <w:r>
        <w:rPr>
          <w:sz w:val="20"/>
        </w:rPr>
        <w:t xml:space="preserve">Vi - объем Субсидии предоставляемой i-муниципальному образованию автономного округа из бюджета автономного округа, в том числе за счет средств федерального бюджета на соответствующий финансовый год;</w:t>
      </w:r>
    </w:p>
    <w:p>
      <w:pPr>
        <w:pStyle w:val="0"/>
        <w:spacing w:before="200" w:line-rule="auto"/>
        <w:ind w:firstLine="540"/>
        <w:jc w:val="both"/>
      </w:pPr>
      <w:r>
        <w:rPr>
          <w:sz w:val="20"/>
        </w:rPr>
        <w:t xml:space="preserve">Vобщ - общий объем Субсидии на государственную поддержку отрасли культуры в части обеспечения муниципальных учреждений культуры специализированным автотранспортом для обслуживания населения на соответствующий финансовый год;</w:t>
      </w:r>
    </w:p>
    <w:p>
      <w:pPr>
        <w:pStyle w:val="0"/>
        <w:spacing w:before="200" w:line-rule="auto"/>
        <w:ind w:firstLine="540"/>
        <w:jc w:val="both"/>
      </w:pPr>
      <w:r>
        <w:rPr>
          <w:sz w:val="20"/>
        </w:rPr>
        <w:t xml:space="preserve">Pi - объем заявленной финансовой потребности i-го муниципального образования на государственную поддержку отрасли культуры в части обеспечения муниципальных учреждений специализированным автотранспортом для обслуживания населения на соответствующий финансовый год;</w:t>
      </w:r>
    </w:p>
    <w:p>
      <w:pPr>
        <w:pStyle w:val="0"/>
        <w:spacing w:before="200" w:line-rule="auto"/>
        <w:ind w:firstLine="540"/>
        <w:jc w:val="both"/>
      </w:pPr>
      <w:r>
        <w:rPr>
          <w:sz w:val="20"/>
        </w:rPr>
        <w:t xml:space="preserve">Р - общий объем заявленной финансовой потребности муниципальных образований на государственную поддержку отрасли культуры в части обеспечения муниципальных учреждений специализированным автотранспортом для обслуживания населения на соответствующий финансовый год.</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162" w:tooltip="6.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разделом IV Методики распределения дотаций на выравнивание бюджетной обеспеченности муниципальных районов (городских округов), утвержденной к Зак...">
        <w:r>
          <w:rPr>
            <w:sz w:val="20"/>
            <w:color w:val="0000ff"/>
          </w:rPr>
          <w:t xml:space="preserve">пункте 6</w:t>
        </w:r>
      </w:hyperlink>
      <w:r>
        <w:rPr>
          <w:sz w:val="20"/>
        </w:rPr>
        <w:t xml:space="preserve"> Порядка.</w:t>
      </w:r>
    </w:p>
    <w:p>
      <w:pPr>
        <w:pStyle w:val="0"/>
        <w:jc w:val="both"/>
      </w:pPr>
      <w:r>
        <w:rPr>
          <w:sz w:val="20"/>
        </w:rPr>
        <w:t xml:space="preserve">(п. 10 в ред. </w:t>
      </w:r>
      <w:hyperlink w:history="0" r:id="rId75"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11.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12. Соглашение должно содержать информацию, указанную в </w:t>
      </w:r>
      <w:hyperlink w:history="0" r:id="rId7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предоставления Субсидий.</w:t>
      </w:r>
    </w:p>
    <w:p>
      <w:pPr>
        <w:pStyle w:val="0"/>
        <w:spacing w:before="200" w:line-rule="auto"/>
        <w:ind w:firstLine="540"/>
        <w:jc w:val="both"/>
      </w:pPr>
      <w:r>
        <w:rPr>
          <w:sz w:val="20"/>
        </w:rPr>
        <w:t xml:space="preserve">13.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14.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15.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7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7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или результатов регионального проекта, а также в случае сокращения размера Субсидии.</w:t>
      </w:r>
    </w:p>
    <w:p>
      <w:pPr>
        <w:pStyle w:val="0"/>
        <w:spacing w:before="200" w:line-rule="auto"/>
        <w:ind w:firstLine="540"/>
        <w:jc w:val="both"/>
      </w:pPr>
      <w:r>
        <w:rPr>
          <w:sz w:val="20"/>
        </w:rPr>
        <w:t xml:space="preserve">17.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18. Результатом использования Субсидии является количество приобретенных автоклубов для обслуживания населения муниципального образования, который устанавливается Соглашением.</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19.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20.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7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22.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8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23.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24. Ответственность за достоверность представляемых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25.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w:history="0" r:id="rId8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8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8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3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26.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27.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8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8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28.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29.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235" w:name="P235"/>
    <w:bookmarkEnd w:id="235"/>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СОЗДАНИЕ ВИРТУАЛЬНЫХ КОНЦЕРТНЫХ</w:t>
      </w:r>
    </w:p>
    <w:p>
      <w:pPr>
        <w:pStyle w:val="2"/>
        <w:jc w:val="center"/>
      </w:pPr>
      <w:r>
        <w:rPr>
          <w:sz w:val="20"/>
        </w:rPr>
        <w:t xml:space="preserve">ЗАЛОВ, В ТОМ ЧИСЛЕ ЗА СЧЕТ СРЕДСТВ ФЕДЕРАЛЬНОГО БЮДЖЕТА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86"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13.01.2023 </w:t>
            </w:r>
            <w:hyperlink w:history="0" r:id="rId87"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муниципальные образования) на создание виртуальных концертных залов (далее - иные межбюджетные трансферты), в том числе за счет средств федерального бюджета.</w:t>
      </w:r>
    </w:p>
    <w:p>
      <w:pPr>
        <w:pStyle w:val="0"/>
        <w:spacing w:before="200" w:line-rule="auto"/>
        <w:ind w:firstLine="540"/>
        <w:jc w:val="both"/>
      </w:pPr>
      <w:r>
        <w:rPr>
          <w:sz w:val="20"/>
        </w:rPr>
        <w:t xml:space="preserve">2. Иные межбюджетные трансферты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проекта "Цифровая культура" (далее - региональный проект) </w:t>
      </w:r>
      <w:hyperlink w:history="0" r:id="rId8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подпрограммы 1</w:t>
        </w:r>
      </w:hyperlink>
      <w:r>
        <w:rPr>
          <w:sz w:val="20"/>
        </w:rPr>
        <w:t xml:space="preserve">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3. Целью предоставления иных межбюджетных трансфертов является создание виртуальных концертных залов, включая оснащение муниципальных учреждений отрасли культуры муниципальных образований техническим и технологическим оборудованием, необходимым для создания виртуального концертного зала, для повышения доступа жителей муниципальных образований к произведениям филармонической музыки.</w:t>
      </w:r>
    </w:p>
    <w:p>
      <w:pPr>
        <w:pStyle w:val="0"/>
        <w:jc w:val="both"/>
      </w:pPr>
      <w:r>
        <w:rPr>
          <w:sz w:val="20"/>
        </w:rPr>
        <w:t xml:space="preserve">(в ред. </w:t>
      </w:r>
      <w:hyperlink w:history="0" r:id="rId8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4. Иные межбюджетные трансферты предоставляются на реализацию следующих мероприятий:</w:t>
      </w:r>
    </w:p>
    <w:p>
      <w:pPr>
        <w:pStyle w:val="0"/>
        <w:spacing w:before="200" w:line-rule="auto"/>
        <w:ind w:firstLine="540"/>
        <w:jc w:val="both"/>
      </w:pPr>
      <w:r>
        <w:rPr>
          <w:sz w:val="20"/>
        </w:rPr>
        <w:t xml:space="preserve">оснащение учреждений культуры техническим и технологическим оборудованием, включая его доставку, монтаж (демонтаж), погрузочно-разгрузочные работы, необходимым для создания виртуального концертного зала;</w:t>
      </w:r>
    </w:p>
    <w:p>
      <w:pPr>
        <w:pStyle w:val="0"/>
        <w:jc w:val="both"/>
      </w:pPr>
      <w:r>
        <w:rPr>
          <w:sz w:val="20"/>
        </w:rPr>
        <w:t xml:space="preserve">(в ред. </w:t>
      </w:r>
      <w:hyperlink w:history="0" r:id="rId90"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абзац утратил силу с 13 января 2023 года. - </w:t>
      </w:r>
      <w:hyperlink w:history="0" r:id="rId91"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5. Условиями предоставления иных межбюджетных трансфертов являются:</w:t>
      </w:r>
    </w:p>
    <w:p>
      <w:pPr>
        <w:pStyle w:val="0"/>
        <w:spacing w:before="200" w:line-rule="auto"/>
        <w:ind w:firstLine="540"/>
        <w:jc w:val="both"/>
      </w:pPr>
      <w:r>
        <w:rPr>
          <w:sz w:val="20"/>
        </w:rPr>
        <w:t xml:space="preserve">наличие утвержденного нормативного правового акта муниципального образования, устанавливающего его расходные обязательства, реализация которых осуществляется за счет иных межбюджетных трансфертов для достижения результатов реализации регионального проекта;</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6. Предоставление иных межбюджетных трансфертов бюджету муниципального образования осуществляется на основании соглашения, заключаемого в соответствии с типовой формой, утвержденной Министерством финансов Российской Федерации (далее - Соглашение)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Иные межбюджетные трансферты предоставляются бюджету муниципального образования в пределах лимитов бюджетных ассигнований, предусмотренных законом о бюджете автономного округа на соответствующий финансовый год и плановый период по государственной </w:t>
      </w:r>
      <w:hyperlink w:history="0" r:id="rId92"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программе</w:t>
        </w:r>
      </w:hyperlink>
      <w:r>
        <w:rPr>
          <w:sz w:val="20"/>
        </w:rPr>
        <w:t xml:space="preserve"> "Культурное пространство", из них средства федерального бюджета составляют 100%.</w:t>
      </w:r>
    </w:p>
    <w:p>
      <w:pPr>
        <w:pStyle w:val="0"/>
        <w:spacing w:before="200" w:line-rule="auto"/>
        <w:ind w:firstLine="540"/>
        <w:jc w:val="both"/>
      </w:pPr>
      <w:r>
        <w:rPr>
          <w:sz w:val="20"/>
        </w:rPr>
        <w:t xml:space="preserve">7. Распределение иных межбюджетных трансфертов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8. Иные межбюджетные трансферты предоставляются муниципальным образованиям по результатам конкурсного отбора, проводимого Министерством культуры Российской Федерации (далее - Минкультуры РФ) в соответствии с </w:t>
      </w:r>
      <w:hyperlink w:history="0" r:id="rId93"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Правилами</w:t>
        </w:r>
      </w:hyperlink>
      <w:r>
        <w:rPr>
          <w:sz w:val="20"/>
        </w:rP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утвержденными постановлением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(далее - Правила предоставления иных межбюджетных трансфертов).</w:t>
      </w:r>
    </w:p>
    <w:p>
      <w:pPr>
        <w:pStyle w:val="0"/>
        <w:spacing w:before="200" w:line-rule="auto"/>
        <w:ind w:firstLine="540"/>
        <w:jc w:val="both"/>
      </w:pPr>
      <w:r>
        <w:rPr>
          <w:sz w:val="20"/>
        </w:rPr>
        <w:t xml:space="preserve">9. Для участия в конкурсном отборе Департамент культуры автономного округа (далее - Департамент) в течение 2 рабочих дней, со дня уведомления Минкультуры РФ о начале приема заявок, запрашивает у муниципальных образований сведения, указанные в </w:t>
      </w:r>
      <w:hyperlink w:history="0" r:id="rId94"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пункте 4</w:t>
        </w:r>
      </w:hyperlink>
      <w:r>
        <w:rPr>
          <w:sz w:val="20"/>
        </w:rPr>
        <w:t xml:space="preserve"> приложения 1 к Правилам предоставления иных межбюджетных трансфертов.</w:t>
      </w:r>
    </w:p>
    <w:p>
      <w:pPr>
        <w:pStyle w:val="0"/>
        <w:spacing w:before="200" w:line-rule="auto"/>
        <w:ind w:firstLine="540"/>
        <w:jc w:val="both"/>
      </w:pPr>
      <w:r>
        <w:rPr>
          <w:sz w:val="20"/>
        </w:rPr>
        <w:t xml:space="preserve">10. Департамент формирует заявки на участие в конкурсном отборе (далее - заявка) и представляет в Минкультуры РФ. Для участия в конкурсном отборе Департамент может направить не более 20 заявок.</w:t>
      </w:r>
    </w:p>
    <w:p>
      <w:pPr>
        <w:pStyle w:val="0"/>
        <w:spacing w:before="200" w:line-rule="auto"/>
        <w:ind w:firstLine="540"/>
        <w:jc w:val="both"/>
      </w:pPr>
      <w:r>
        <w:rPr>
          <w:sz w:val="20"/>
        </w:rPr>
        <w:t xml:space="preserve">Каждая заявка включает сведения об одном находящемся на территории автономного округа учреждения культуры, желающем принять участие в проекте по созданию виртуальных концертных залов в городах Российской Федерации, с указанием муниципального образования, в котором осуществляется его деятельность.</w:t>
      </w:r>
    </w:p>
    <w:p>
      <w:pPr>
        <w:pStyle w:val="0"/>
        <w:spacing w:before="200" w:line-rule="auto"/>
        <w:ind w:firstLine="540"/>
        <w:jc w:val="both"/>
      </w:pPr>
      <w:r>
        <w:rPr>
          <w:sz w:val="20"/>
        </w:rPr>
        <w:t xml:space="preserve">11. В течение финансового года проводятся конкурсные отборы.</w:t>
      </w:r>
    </w:p>
    <w:p>
      <w:pPr>
        <w:pStyle w:val="0"/>
        <w:spacing w:before="200" w:line-rule="auto"/>
        <w:ind w:firstLine="540"/>
        <w:jc w:val="both"/>
      </w:pPr>
      <w:r>
        <w:rPr>
          <w:sz w:val="20"/>
        </w:rPr>
        <w:t xml:space="preserve">В случае если муниципальное образование не стало по результатам конкурсного отбора победителем, Департамент имеет право направить данную заявку на участие в следующем конкурсном отборе.</w:t>
      </w:r>
    </w:p>
    <w:p>
      <w:pPr>
        <w:pStyle w:val="0"/>
        <w:spacing w:before="200" w:line-rule="auto"/>
        <w:ind w:firstLine="540"/>
        <w:jc w:val="both"/>
      </w:pPr>
      <w:r>
        <w:rPr>
          <w:sz w:val="20"/>
        </w:rPr>
        <w:t xml:space="preserve">12. Победителям конкурсного отбора в соответствии с поданными заявками предоставляются иные межбюджетные трансферты в размере, установленном в </w:t>
      </w:r>
      <w:hyperlink w:history="0" r:id="rId95"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пункте 15</w:t>
        </w:r>
      </w:hyperlink>
      <w:r>
        <w:rPr>
          <w:sz w:val="20"/>
        </w:rPr>
        <w:t xml:space="preserve"> Правил предоставления иных межбюджетных трансфертов.</w:t>
      </w:r>
    </w:p>
    <w:p>
      <w:pPr>
        <w:pStyle w:val="0"/>
        <w:spacing w:before="200" w:line-rule="auto"/>
        <w:ind w:firstLine="540"/>
        <w:jc w:val="both"/>
      </w:pPr>
      <w:r>
        <w:rPr>
          <w:sz w:val="20"/>
        </w:rPr>
        <w:t xml:space="preserve">13. Перечисление иных межбюджетных трансфертов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Ханты-Мансийскому автономному округу - Югре,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иных межбюджетных трансфертов.</w:t>
      </w:r>
    </w:p>
    <w:p>
      <w:pPr>
        <w:pStyle w:val="0"/>
        <w:spacing w:before="200" w:line-rule="auto"/>
        <w:ind w:firstLine="540"/>
        <w:jc w:val="both"/>
      </w:pPr>
      <w:r>
        <w:rPr>
          <w:sz w:val="20"/>
        </w:rPr>
        <w:t xml:space="preserve">14. Результатом использования иных межбюджетных трансфертов является количество созданных виртуальных концертных залов, которое устанавливается Соглашением.</w:t>
      </w:r>
    </w:p>
    <w:p>
      <w:pPr>
        <w:pStyle w:val="0"/>
        <w:spacing w:before="200" w:line-rule="auto"/>
        <w:ind w:firstLine="540"/>
        <w:jc w:val="both"/>
      </w:pPr>
      <w:r>
        <w:rPr>
          <w:sz w:val="20"/>
        </w:rPr>
        <w:t xml:space="preserve">Оценка эффективности предоставления иных межбюджетных трансфертов осуществляется Департаментом в порядке и сроки, определенные Соглашением.</w:t>
      </w:r>
    </w:p>
    <w:p>
      <w:pPr>
        <w:pStyle w:val="0"/>
        <w:spacing w:before="200" w:line-rule="auto"/>
        <w:ind w:firstLine="540"/>
        <w:jc w:val="both"/>
      </w:pPr>
      <w:r>
        <w:rPr>
          <w:sz w:val="20"/>
        </w:rPr>
        <w:t xml:space="preserve">15. Иные межбюджетные трансферты, не использованные на конец финансового года, подлежат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16. В случае несоблюдения муниципальным образованием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средства, подлежат возврату в бюджет автономного округа в размере, определенном в соответствии с </w:t>
      </w:r>
      <w:hyperlink w:history="0" r:id="rId96"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пунктом 20</w:t>
        </w:r>
      </w:hyperlink>
      <w:r>
        <w:rPr>
          <w:sz w:val="20"/>
        </w:rPr>
        <w:t xml:space="preserve"> Правил предоставления иных межбюджетных трансфертов.</w:t>
      </w:r>
    </w:p>
    <w:p>
      <w:pPr>
        <w:pStyle w:val="0"/>
        <w:spacing w:before="200" w:line-rule="auto"/>
        <w:ind w:firstLine="540"/>
        <w:jc w:val="both"/>
      </w:pPr>
      <w:r>
        <w:rPr>
          <w:sz w:val="20"/>
        </w:rPr>
        <w:t xml:space="preserve">18. Контроль за соблюдением муниципальным образованием использования иных межбюджетных трансфертов осуществляет Департамент и уполномоченные органы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285" w:name="P285"/>
    <w:bookmarkEnd w:id="285"/>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ПОДДЕРЖКУ ТВОРЧЕСКОЙ</w:t>
      </w:r>
    </w:p>
    <w:p>
      <w:pPr>
        <w:pStyle w:val="2"/>
        <w:jc w:val="center"/>
      </w:pPr>
      <w:r>
        <w:rPr>
          <w:sz w:val="20"/>
        </w:rPr>
        <w:t xml:space="preserve">ДЕЯТЕЛЬНОСТИ И ТЕХНИЧЕСКОЕ ОСНАЩЕНИЕ ДЕТСКИХ И КУКОЛЬНЫХ</w:t>
      </w:r>
    </w:p>
    <w:p>
      <w:pPr>
        <w:pStyle w:val="2"/>
        <w:jc w:val="center"/>
      </w:pPr>
      <w:r>
        <w:rPr>
          <w:sz w:val="20"/>
        </w:rPr>
        <w:t xml:space="preserve">ТЕАТРОВ, В ТОМ ЧИСЛЕ ЗА СЧЕТ СРЕДСТВ ФЕДЕРАЛЬНОГО БЮДЖЕТА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97"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01.09.2022 </w:t>
            </w:r>
            <w:hyperlink w:history="0" r:id="rId98"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color w:val="392c69"/>
              </w:rPr>
              <w:t xml:space="preserve">, от 13.01.2023 </w:t>
            </w:r>
            <w:hyperlink w:history="0" r:id="rId9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на поддержку творческой деятельности и техническое оснащение детских и кукольных театров (далее - Субсидия, муниципальные образования), в том числе за счет средств федерального бюджета.</w:t>
      </w:r>
    </w:p>
    <w:p>
      <w:pPr>
        <w:pStyle w:val="0"/>
        <w:spacing w:before="200" w:line-rule="auto"/>
        <w:ind w:firstLine="540"/>
        <w:jc w:val="both"/>
      </w:pPr>
      <w:r>
        <w:rPr>
          <w:sz w:val="20"/>
        </w:rP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10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мероприятия 2.5</w:t>
        </w:r>
      </w:hyperlink>
      <w:r>
        <w:rPr>
          <w:sz w:val="20"/>
        </w:rPr>
        <w:t xml:space="preserve"> "Развитие профессионального искусства"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Субсидия предоставляется в целях софинансирования расходных обязательств муниципальных образований, связанных с реализацией мероприятий, предусматривающих поддержку творческой деятельности и техническое оснащение детских и кукольных театров, по следующим направлениям:</w:t>
      </w:r>
    </w:p>
    <w:p>
      <w:pPr>
        <w:pStyle w:val="0"/>
        <w:jc w:val="both"/>
      </w:pPr>
      <w:r>
        <w:rPr>
          <w:sz w:val="20"/>
        </w:rPr>
        <w:t xml:space="preserve">(в ред. </w:t>
      </w:r>
      <w:hyperlink w:history="0" r:id="rId101"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а) создание новых постановок и показ спектаклей на стационаре (далее - творческие проекты), при этом средства субсидии могут быть направлены на:</w:t>
      </w:r>
    </w:p>
    <w:p>
      <w:pPr>
        <w:pStyle w:val="0"/>
        <w:spacing w:before="200" w:line-rule="auto"/>
        <w:ind w:firstLine="540"/>
        <w:jc w:val="both"/>
      </w:pPr>
      <w:r>
        <w:rPr>
          <w:sz w:val="20"/>
        </w:rPr>
        <w:t xml:space="preserve">оплату труда сотрудников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оплату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оплату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pPr>
        <w:pStyle w:val="0"/>
        <w:spacing w:before="200" w:line-rule="auto"/>
        <w:ind w:firstLine="540"/>
        <w:jc w:val="both"/>
      </w:pPr>
      <w:r>
        <w:rPr>
          <w:sz w:val="20"/>
        </w:rPr>
        <w:t xml:space="preserve">оплату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оплату работ (услуг), связанных со съемками и онлайн-показами творческих проектов;</w:t>
      </w:r>
    </w:p>
    <w:p>
      <w:pPr>
        <w:pStyle w:val="0"/>
        <w:spacing w:before="200" w:line-rule="auto"/>
        <w:ind w:firstLine="540"/>
        <w:jc w:val="both"/>
      </w:pPr>
      <w:r>
        <w:rPr>
          <w:sz w:val="20"/>
        </w:rPr>
        <w:t xml:space="preserve">оплату работ (услуг) по обеспечению тифлокомментирования и сурдоперевода творческих проектов;</w:t>
      </w:r>
    </w:p>
    <w:p>
      <w:pPr>
        <w:pStyle w:val="0"/>
        <w:spacing w:before="200" w:line-rule="auto"/>
        <w:ind w:firstLine="540"/>
        <w:jc w:val="both"/>
      </w:pPr>
      <w:r>
        <w:rPr>
          <w:sz w:val="20"/>
        </w:rPr>
        <w:t xml:space="preserve">уплату налогов и сборов, установленных законодательством Российской Федерации;</w:t>
      </w:r>
    </w:p>
    <w:p>
      <w:pPr>
        <w:pStyle w:val="0"/>
        <w:jc w:val="both"/>
      </w:pPr>
      <w:r>
        <w:rPr>
          <w:sz w:val="20"/>
        </w:rPr>
        <w:t xml:space="preserve">(пп. "а" введен </w:t>
      </w:r>
      <w:hyperlink w:history="0" r:id="rId102"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б) техническое оснащение детских и кукольных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пассажирских и грузопассажирских автобусов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необходимого для съемок и онлайн-показов творческих проектов;</w:t>
      </w:r>
    </w:p>
    <w:p>
      <w:pPr>
        <w:pStyle w:val="0"/>
        <w:spacing w:before="200" w:line-rule="auto"/>
        <w:ind w:firstLine="540"/>
        <w:jc w:val="both"/>
      </w:pPr>
      <w:r>
        <w:rPr>
          <w:sz w:val="20"/>
        </w:rPr>
        <w:t xml:space="preserve">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pPr>
        <w:pStyle w:val="0"/>
        <w:spacing w:before="200" w:line-rule="auto"/>
        <w:ind w:firstLine="540"/>
        <w:jc w:val="both"/>
      </w:pPr>
      <w:r>
        <w:rPr>
          <w:sz w:val="20"/>
        </w:rPr>
        <w:t xml:space="preserve">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pPr>
        <w:pStyle w:val="0"/>
        <w:spacing w:before="200" w:line-rule="auto"/>
        <w:ind w:firstLine="540"/>
        <w:jc w:val="both"/>
      </w:pPr>
      <w:r>
        <w:rPr>
          <w:sz w:val="20"/>
        </w:rPr>
        <w:t xml:space="preserve">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pPr>
        <w:pStyle w:val="0"/>
        <w:jc w:val="both"/>
      </w:pPr>
      <w:r>
        <w:rPr>
          <w:sz w:val="20"/>
        </w:rPr>
        <w:t xml:space="preserve">(пп. "б" введен </w:t>
      </w:r>
      <w:hyperlink w:history="0" r:id="rId103"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3. Субсидия предоставляется по результатам отбора заявок муниципальных образований о предоставлении Субсидий, порядок и сроки проведения которого, а также форму указанной заявки утверждает приказом Департамент культуры автономного округа (далее - Департамент), который он размещает на своем официальном сайте и направляет в муниципальные образования посредством системы автоматизации делопроизводства и электронного документооборота "Дело".</w:t>
      </w:r>
    </w:p>
    <w:p>
      <w:pPr>
        <w:pStyle w:val="0"/>
        <w:spacing w:before="200" w:line-rule="auto"/>
        <w:ind w:firstLine="540"/>
        <w:jc w:val="both"/>
      </w:pPr>
      <w:r>
        <w:rPr>
          <w:sz w:val="20"/>
        </w:rPr>
        <w:t xml:space="preserve">Предоставление Субсидий осуществляется в году, следующем за годом проведения отбора.</w:t>
      </w:r>
    </w:p>
    <w:p>
      <w:pPr>
        <w:pStyle w:val="0"/>
        <w:jc w:val="both"/>
      </w:pPr>
      <w:r>
        <w:rPr>
          <w:sz w:val="20"/>
        </w:rPr>
        <w:t xml:space="preserve">(п. 3 в ред. </w:t>
      </w:r>
      <w:hyperlink w:history="0" r:id="rId104"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4. Критериями отбора являются:</w:t>
      </w:r>
    </w:p>
    <w:p>
      <w:pPr>
        <w:pStyle w:val="0"/>
        <w:jc w:val="both"/>
      </w:pPr>
      <w:r>
        <w:rPr>
          <w:sz w:val="20"/>
        </w:rPr>
        <w:t xml:space="preserve">(в ред. </w:t>
      </w:r>
      <w:hyperlink w:history="0" r:id="rId105"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наличие в муниципальном образовании детских и кукольных театров;</w:t>
      </w:r>
    </w:p>
    <w:p>
      <w:pPr>
        <w:pStyle w:val="0"/>
        <w:spacing w:before="200" w:line-rule="auto"/>
        <w:ind w:firstLine="540"/>
        <w:jc w:val="both"/>
      </w:pPr>
      <w:r>
        <w:rPr>
          <w:sz w:val="20"/>
        </w:rPr>
        <w:t xml:space="preserve">обоснование потребности на поддержку творческой деятельности и техническое оснащение детских и кукольных театров.</w:t>
      </w:r>
    </w:p>
    <w:p>
      <w:pPr>
        <w:pStyle w:val="0"/>
        <w:jc w:val="both"/>
      </w:pPr>
      <w:r>
        <w:rPr>
          <w:sz w:val="20"/>
        </w:rPr>
        <w:t xml:space="preserve">(в ред. </w:t>
      </w:r>
      <w:hyperlink w:history="0" r:id="rId106"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государственной </w:t>
      </w:r>
      <w:hyperlink w:history="0" r:id="rId10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направление в Департамент заявки о предоставлении Субсидии в срок и по форме, установленной Департаментом, с обоснованием потребности в реализации мероприятий, предусматривающих поддержку творческой деятельности и техническое оснащение детских и кукольных театров, подписанной главой муниципального образования либо уполномоченным должностным лицом;</w:t>
      </w:r>
    </w:p>
    <w:p>
      <w:pPr>
        <w:pStyle w:val="0"/>
        <w:jc w:val="both"/>
      </w:pPr>
      <w:r>
        <w:rPr>
          <w:sz w:val="20"/>
        </w:rPr>
        <w:t xml:space="preserve">(абзац введен </w:t>
      </w:r>
      <w:hyperlink w:history="0" r:id="rId108"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поддержку творческой деятельности и техническое оснащение детских и кукольных театров, к рассмотрению принимается заявка, зарегистрированная ранее в системе автоматизации делопроизводства и электронного документооборота "Дело".</w:t>
      </w:r>
    </w:p>
    <w:p>
      <w:pPr>
        <w:pStyle w:val="0"/>
        <w:spacing w:before="200" w:line-rule="auto"/>
        <w:ind w:firstLine="540"/>
        <w:jc w:val="both"/>
      </w:pPr>
      <w:r>
        <w:rPr>
          <w:sz w:val="20"/>
        </w:rPr>
        <w:t xml:space="preserve">7. Муниципальное образование не может получить Субсидию на поддержку творческой деятельности и техническое оснащение детских и кукольных театров, которые на текущий финансовый год получили поддержку в соответствии с Порядок предоставления и распределения субсидий бюджетам городских округов и муниципальных районов Ханты-Мансийского автономного округа - Югры на поддержку творческой деятельности муниципальных театров в населенных пунктах с численностью населения до 300 тысяч жителей.</w:t>
      </w:r>
    </w:p>
    <w:p>
      <w:pPr>
        <w:pStyle w:val="0"/>
        <w:spacing w:before="200" w:line-rule="auto"/>
        <w:ind w:firstLine="540"/>
        <w:jc w:val="both"/>
      </w:pPr>
      <w:r>
        <w:rPr>
          <w:sz w:val="20"/>
        </w:rPr>
        <w:t xml:space="preserve">8. Объем Субсидии (Vi), предоставляемой i-му муниципальному образованию автономного округа на соответствующий финансовый год, определяется по формуле:</w:t>
      </w:r>
    </w:p>
    <w:p>
      <w:pPr>
        <w:pStyle w:val="0"/>
        <w:ind w:firstLine="540"/>
        <w:jc w:val="both"/>
      </w:pPr>
      <w:r>
        <w:rPr>
          <w:sz w:val="20"/>
        </w:rPr>
      </w:r>
    </w:p>
    <w:p>
      <w:pPr>
        <w:pStyle w:val="0"/>
        <w:ind w:firstLine="540"/>
        <w:jc w:val="both"/>
      </w:pPr>
      <w:r>
        <w:rPr>
          <w:sz w:val="20"/>
        </w:rPr>
        <w:t xml:space="preserve">Vi = (Vобщ * Pi) / P, где:</w:t>
      </w:r>
    </w:p>
    <w:p>
      <w:pPr>
        <w:pStyle w:val="0"/>
        <w:ind w:firstLine="540"/>
        <w:jc w:val="both"/>
      </w:pPr>
      <w:r>
        <w:rPr>
          <w:sz w:val="20"/>
        </w:rPr>
      </w:r>
    </w:p>
    <w:p>
      <w:pPr>
        <w:pStyle w:val="0"/>
        <w:ind w:firstLine="540"/>
        <w:jc w:val="both"/>
      </w:pPr>
      <w:r>
        <w:rPr>
          <w:sz w:val="20"/>
        </w:rPr>
        <w:t xml:space="preserve">Vi - объем субсидии, предоставляемой i-му муниципальному образованию автономного округа из бюджета автономного округа, в том числе за счет средств федерального бюджета на соответствующий финансовый год;</w:t>
      </w:r>
    </w:p>
    <w:p>
      <w:pPr>
        <w:pStyle w:val="0"/>
        <w:spacing w:before="200" w:line-rule="auto"/>
        <w:ind w:firstLine="540"/>
        <w:jc w:val="both"/>
      </w:pPr>
      <w:r>
        <w:rPr>
          <w:sz w:val="20"/>
        </w:rPr>
        <w:t xml:space="preserve">Vобщ - общий объем субсидии на поддержку творческой деятельности и техническое оснащение детских и кукольных театров на соответствующий финансовый год;</w:t>
      </w:r>
    </w:p>
    <w:p>
      <w:pPr>
        <w:pStyle w:val="0"/>
        <w:spacing w:before="200" w:line-rule="auto"/>
        <w:ind w:firstLine="540"/>
        <w:jc w:val="both"/>
      </w:pPr>
      <w:r>
        <w:rPr>
          <w:sz w:val="20"/>
        </w:rPr>
        <w:t xml:space="preserve">Pi - объем заявленной финансовой потребности i-го муниципального образования на поддержку творческой деятельности и техническое оснащение детских и кукольных театров на соответствующий финансовый год;</w:t>
      </w:r>
    </w:p>
    <w:p>
      <w:pPr>
        <w:pStyle w:val="0"/>
        <w:spacing w:before="200" w:line-rule="auto"/>
        <w:ind w:firstLine="540"/>
        <w:jc w:val="both"/>
      </w:pPr>
      <w:r>
        <w:rPr>
          <w:sz w:val="20"/>
        </w:rPr>
        <w:t xml:space="preserve">Р - общий объем заявленной финансовой потребности муниципальных образований на поддержку творческой деятельности и техническое оснащение детских и кукольных театров на соответствующий финансовый год.</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349" w:tooltip="9.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разделом IV Методики распределения дотаций на выравнивание бюджетной обеспеченности муниципальных районов (городских округов), утвержденной закон...">
        <w:r>
          <w:rPr>
            <w:sz w:val="20"/>
            <w:color w:val="0000ff"/>
          </w:rPr>
          <w:t xml:space="preserve">пункте 9</w:t>
        </w:r>
      </w:hyperlink>
      <w:r>
        <w:rPr>
          <w:sz w:val="20"/>
        </w:rPr>
        <w:t xml:space="preserve"> Порядка.</w:t>
      </w:r>
    </w:p>
    <w:p>
      <w:pPr>
        <w:pStyle w:val="0"/>
        <w:jc w:val="both"/>
      </w:pPr>
      <w:r>
        <w:rPr>
          <w:sz w:val="20"/>
        </w:rPr>
        <w:t xml:space="preserve">(п. 8 в ред. </w:t>
      </w:r>
      <w:hyperlink w:history="0" r:id="rId10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bookmarkStart w:id="349" w:name="P349"/>
    <w:bookmarkEnd w:id="349"/>
    <w:p>
      <w:pPr>
        <w:pStyle w:val="0"/>
        <w:spacing w:before="200" w:line-rule="auto"/>
        <w:ind w:firstLine="540"/>
        <w:jc w:val="both"/>
      </w:pPr>
      <w:r>
        <w:rPr>
          <w:sz w:val="20"/>
        </w:rPr>
        <w:t xml:space="preserve">9.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w:history="0" r:id="rId110"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2041"/>
        <w:gridCol w:w="3685"/>
      </w:tblGrid>
      <w:tr>
        <w:tc>
          <w:tcPr>
            <w:tcW w:w="3345" w:type="dxa"/>
          </w:tcPr>
          <w:p>
            <w:pPr>
              <w:pStyle w:val="0"/>
              <w:jc w:val="center"/>
            </w:pPr>
            <w:r>
              <w:rPr>
                <w:sz w:val="20"/>
              </w:rPr>
              <w:t xml:space="preserve">Уровень расчетной бюджетной обеспеченности муниципального образования</w:t>
            </w:r>
          </w:p>
        </w:tc>
        <w:tc>
          <w:tcPr>
            <w:tcW w:w="2041" w:type="dxa"/>
          </w:tcPr>
          <w:p>
            <w:pPr>
              <w:pStyle w:val="0"/>
              <w:jc w:val="center"/>
            </w:pPr>
            <w:r>
              <w:rPr>
                <w:sz w:val="20"/>
              </w:rPr>
              <w:t xml:space="preserve">Группа муниципального образования</w:t>
            </w:r>
          </w:p>
        </w:tc>
        <w:tc>
          <w:tcPr>
            <w:tcW w:w="3685"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 (Yi)</w:t>
            </w:r>
          </w:p>
        </w:tc>
      </w:tr>
      <w:tr>
        <w:tc>
          <w:tcPr>
            <w:tcW w:w="3345" w:type="dxa"/>
          </w:tcPr>
          <w:p>
            <w:pPr>
              <w:pStyle w:val="0"/>
              <w:jc w:val="center"/>
            </w:pPr>
            <w:r>
              <w:rPr>
                <w:sz w:val="20"/>
              </w:rPr>
              <w:t xml:space="preserve">от 0 до 1,300</w:t>
            </w:r>
          </w:p>
        </w:tc>
        <w:tc>
          <w:tcPr>
            <w:tcW w:w="2041" w:type="dxa"/>
          </w:tcPr>
          <w:p>
            <w:pPr>
              <w:pStyle w:val="0"/>
              <w:jc w:val="center"/>
            </w:pPr>
            <w:r>
              <w:rPr>
                <w:sz w:val="20"/>
              </w:rPr>
              <w:t xml:space="preserve">1</w:t>
            </w:r>
          </w:p>
        </w:tc>
        <w:tc>
          <w:tcPr>
            <w:tcW w:w="3685" w:type="dxa"/>
          </w:tcPr>
          <w:p>
            <w:pPr>
              <w:pStyle w:val="0"/>
              <w:jc w:val="center"/>
            </w:pPr>
            <w:r>
              <w:rPr>
                <w:sz w:val="20"/>
              </w:rPr>
              <w:t xml:space="preserve">95%</w:t>
            </w:r>
          </w:p>
        </w:tc>
      </w:tr>
      <w:tr>
        <w:tc>
          <w:tcPr>
            <w:tcW w:w="3345" w:type="dxa"/>
          </w:tcPr>
          <w:p>
            <w:pPr>
              <w:pStyle w:val="0"/>
              <w:jc w:val="center"/>
            </w:pPr>
            <w:r>
              <w:rPr>
                <w:sz w:val="20"/>
              </w:rPr>
              <w:t xml:space="preserve">от 1,301 до 1,500</w:t>
            </w:r>
          </w:p>
        </w:tc>
        <w:tc>
          <w:tcPr>
            <w:tcW w:w="2041" w:type="dxa"/>
          </w:tcPr>
          <w:p>
            <w:pPr>
              <w:pStyle w:val="0"/>
              <w:jc w:val="center"/>
            </w:pPr>
            <w:r>
              <w:rPr>
                <w:sz w:val="20"/>
              </w:rPr>
              <w:t xml:space="preserve">2</w:t>
            </w:r>
          </w:p>
        </w:tc>
        <w:tc>
          <w:tcPr>
            <w:tcW w:w="3685" w:type="dxa"/>
          </w:tcPr>
          <w:p>
            <w:pPr>
              <w:pStyle w:val="0"/>
              <w:jc w:val="center"/>
            </w:pPr>
            <w:r>
              <w:rPr>
                <w:sz w:val="20"/>
              </w:rPr>
              <w:t xml:space="preserve">90%</w:t>
            </w:r>
          </w:p>
        </w:tc>
      </w:tr>
      <w:tr>
        <w:tc>
          <w:tcPr>
            <w:tcW w:w="3345" w:type="dxa"/>
          </w:tcPr>
          <w:p>
            <w:pPr>
              <w:pStyle w:val="0"/>
              <w:jc w:val="center"/>
            </w:pPr>
            <w:r>
              <w:rPr>
                <w:sz w:val="20"/>
              </w:rPr>
              <w:t xml:space="preserve">свыше 1,501</w:t>
            </w:r>
          </w:p>
        </w:tc>
        <w:tc>
          <w:tcPr>
            <w:tcW w:w="2041" w:type="dxa"/>
          </w:tcPr>
          <w:p>
            <w:pPr>
              <w:pStyle w:val="0"/>
              <w:jc w:val="center"/>
            </w:pPr>
            <w:r>
              <w:rPr>
                <w:sz w:val="20"/>
              </w:rPr>
              <w:t xml:space="preserve">3</w:t>
            </w:r>
          </w:p>
        </w:tc>
        <w:tc>
          <w:tcPr>
            <w:tcW w:w="3685" w:type="dxa"/>
          </w:tcPr>
          <w:p>
            <w:pPr>
              <w:pStyle w:val="0"/>
              <w:jc w:val="center"/>
            </w:pPr>
            <w:r>
              <w:rPr>
                <w:sz w:val="20"/>
              </w:rPr>
              <w:t xml:space="preserve">85%</w:t>
            </w:r>
          </w:p>
        </w:tc>
      </w:tr>
    </w:tbl>
    <w:p>
      <w:pPr>
        <w:pStyle w:val="0"/>
        <w:ind w:firstLine="540"/>
        <w:jc w:val="both"/>
      </w:pPr>
      <w:r>
        <w:rPr>
          <w:sz w:val="20"/>
        </w:rPr>
      </w:r>
    </w:p>
    <w:p>
      <w:pPr>
        <w:pStyle w:val="0"/>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pPr>
        <w:pStyle w:val="0"/>
        <w:spacing w:before="200" w:line-rule="auto"/>
        <w:ind w:firstLine="540"/>
        <w:jc w:val="both"/>
      </w:pPr>
      <w:r>
        <w:rPr>
          <w:sz w:val="20"/>
        </w:rPr>
        <w:t xml:space="preserve">10.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11. Соглашение должно содержать информацию, указанную в </w:t>
      </w:r>
      <w:hyperlink w:history="0" r:id="rId11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12.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13.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14.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112"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pPr>
        <w:pStyle w:val="0"/>
        <w:spacing w:before="200" w:line-rule="auto"/>
        <w:ind w:firstLine="540"/>
        <w:jc w:val="both"/>
      </w:pPr>
      <w:r>
        <w:rPr>
          <w:sz w:val="20"/>
        </w:rPr>
        <w:t xml:space="preserve">15.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11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а также в случае сокращения размера Субсидии.</w:t>
      </w:r>
    </w:p>
    <w:p>
      <w:pPr>
        <w:pStyle w:val="0"/>
        <w:spacing w:before="200" w:line-rule="auto"/>
        <w:ind w:firstLine="540"/>
        <w:jc w:val="both"/>
      </w:pPr>
      <w:r>
        <w:rPr>
          <w:sz w:val="20"/>
        </w:rPr>
        <w:t xml:space="preserve">16.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17. Результатом использования Субсидии является количество посещений детских и кукольных театров автономного округа, который устанавливается Соглашением.</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19.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11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11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22.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23. Ответственность за достоверность представляемых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24.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w:history="0" r:id="rId11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11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11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3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25.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26.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11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12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27.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28.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p>
      <w:pPr>
        <w:pStyle w:val="2"/>
        <w:jc w:val="center"/>
      </w:pPr>
      <w:r>
        <w:rPr>
          <w:sz w:val="20"/>
        </w:rPr>
        <w:t xml:space="preserve">ПОРЯДОК</w:t>
      </w:r>
    </w:p>
    <w:p>
      <w:pPr>
        <w:pStyle w:val="2"/>
        <w:jc w:val="center"/>
      </w:pPr>
      <w:r>
        <w:rPr>
          <w:sz w:val="20"/>
        </w:rPr>
        <w:t xml:space="preserve">ПРЕДОСТАВЛЕНИЯ ГРАНТОВ В ФОРМЕ СУБСИДИИ ИЗ БЮДЖЕТА</w:t>
      </w:r>
    </w:p>
    <w:p>
      <w:pPr>
        <w:pStyle w:val="2"/>
        <w:jc w:val="center"/>
      </w:pPr>
      <w:r>
        <w:rPr>
          <w:sz w:val="20"/>
        </w:rPr>
        <w:t xml:space="preserve">ХАНТЫ-МАНСИЙСКОГО АВТОНОМНОГО ОКРУГА - ЮГРЫ НЕКОММЕРЧЕСКИМ</w:t>
      </w:r>
    </w:p>
    <w:p>
      <w:pPr>
        <w:pStyle w:val="2"/>
        <w:jc w:val="center"/>
      </w:pPr>
      <w:r>
        <w:rPr>
          <w:sz w:val="20"/>
        </w:rPr>
        <w:t xml:space="preserve">ОРГАНИЗАЦИЯМ НА ПОДДЕРЖКУ ЛЮБИТЕЛЬСКИХ ТВОРЧЕСКИХ</w:t>
      </w:r>
    </w:p>
    <w:p>
      <w:pPr>
        <w:pStyle w:val="2"/>
        <w:jc w:val="center"/>
      </w:pPr>
      <w:r>
        <w:rPr>
          <w:sz w:val="20"/>
        </w:rPr>
        <w:t xml:space="preserve">КОЛЛЕКТИВОВ НА КОНКУРСНОЙ ОСНОВЕ (ДАЛЕЕ - ПОРЯДОК)</w:t>
      </w:r>
    </w:p>
    <w:p>
      <w:pPr>
        <w:pStyle w:val="0"/>
        <w:jc w:val="center"/>
      </w:pPr>
      <w:r>
        <w:rPr>
          <w:sz w:val="20"/>
        </w:rPr>
      </w:r>
    </w:p>
    <w:p>
      <w:pPr>
        <w:pStyle w:val="0"/>
        <w:ind w:firstLine="540"/>
        <w:jc w:val="both"/>
      </w:pPr>
      <w:r>
        <w:rPr>
          <w:sz w:val="20"/>
        </w:rPr>
        <w:t xml:space="preserve">Утратил силу с 20 января 2023 года. - </w:t>
      </w:r>
      <w:hyperlink w:history="0" r:id="rId121"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420" w:name="P420"/>
    <w:bookmarkEnd w:id="420"/>
    <w:p>
      <w:pPr>
        <w:pStyle w:val="2"/>
        <w:jc w:val="center"/>
      </w:pPr>
      <w:r>
        <w:rPr>
          <w:sz w:val="20"/>
        </w:rPr>
        <w:t xml:space="preserve">ПОРЯДОК</w:t>
      </w:r>
    </w:p>
    <w:p>
      <w:pPr>
        <w:pStyle w:val="2"/>
        <w:jc w:val="center"/>
      </w:pPr>
      <w:r>
        <w:rPr>
          <w:sz w:val="20"/>
        </w:rPr>
        <w:t xml:space="preserve">ПРЕДОСТАВЛЕНИЯ ИНЫХ МЕЖБЮДЖЕТНЫХ ТРАНСФЕРТОВ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СОЗДАНИЕ МОДЕЛЬНЫХ</w:t>
      </w:r>
    </w:p>
    <w:p>
      <w:pPr>
        <w:pStyle w:val="2"/>
        <w:jc w:val="center"/>
      </w:pPr>
      <w:r>
        <w:rPr>
          <w:sz w:val="20"/>
        </w:rPr>
        <w:t xml:space="preserve">МУНИЦИПАЛЬНЫХ БИБЛИОТЕК, В ТОМ ЧИСЛЕ ЗА СЧЕТ СРЕДСТВ</w:t>
      </w:r>
    </w:p>
    <w:p>
      <w:pPr>
        <w:pStyle w:val="2"/>
        <w:jc w:val="center"/>
      </w:pPr>
      <w:r>
        <w:rPr>
          <w:sz w:val="20"/>
        </w:rPr>
        <w:t xml:space="preserve">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122"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03.06.2022 </w:t>
            </w:r>
            <w:hyperlink w:history="0" r:id="rId123"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иных межбюджетных трансфертов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муниципальные образования) на создание модельных муниципальных библиотек (далее - иные межбюджетные трансферты), в том числе за счет средств федерального бюджета.</w:t>
      </w:r>
    </w:p>
    <w:p>
      <w:pPr>
        <w:pStyle w:val="0"/>
        <w:spacing w:before="200" w:line-rule="auto"/>
        <w:ind w:firstLine="540"/>
        <w:jc w:val="both"/>
      </w:pPr>
      <w:r>
        <w:rPr>
          <w:sz w:val="20"/>
        </w:rPr>
        <w:t xml:space="preserve">2. Иные межбюджетные трансферты предоставляются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w:history="0" r:id="rId12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проекта</w:t>
        </w:r>
      </w:hyperlink>
      <w:r>
        <w:rPr>
          <w:sz w:val="20"/>
        </w:rPr>
        <w:t xml:space="preserve"> "Культурная среда" (далее - региональный проект)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3. В Порядке используется понятие:</w:t>
      </w:r>
    </w:p>
    <w:p>
      <w:pPr>
        <w:pStyle w:val="0"/>
        <w:spacing w:before="200" w:line-rule="auto"/>
        <w:ind w:firstLine="540"/>
        <w:jc w:val="both"/>
      </w:pPr>
      <w:r>
        <w:rPr>
          <w:sz w:val="20"/>
        </w:rPr>
        <w:t xml:space="preserve">модельная муниципальная библиотека - муниципальная библиотека, оснащенная высокоскоростным широкополосным доступом к информационно-телекоммуникационной сети "Интернет", доступом к современным отечественным информационным ресурсам научного и художественного содержания на различных носителях, использующая в своей работе новейшие информационные технологии, которая функционирует как открытое общественное, культурное, информационное, просветительское пространство, комфортное место для индивидуальной или коллективной работы и творческой самореализации, в том числе для лиц с ограниченными возможностями здоровья.</w:t>
      </w:r>
    </w:p>
    <w:p>
      <w:pPr>
        <w:pStyle w:val="0"/>
        <w:spacing w:before="200" w:line-rule="auto"/>
        <w:ind w:firstLine="540"/>
        <w:jc w:val="both"/>
      </w:pPr>
      <w:r>
        <w:rPr>
          <w:sz w:val="20"/>
        </w:rPr>
        <w:t xml:space="preserve">4. Целью предоставления иных межбюджетных трансфертов является создание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pPr>
        <w:pStyle w:val="0"/>
        <w:spacing w:before="200" w:line-rule="auto"/>
        <w:ind w:firstLine="540"/>
        <w:jc w:val="both"/>
      </w:pPr>
      <w:r>
        <w:rPr>
          <w:sz w:val="20"/>
        </w:rPr>
        <w:t xml:space="preserve">5. Иные межбюджетные трансферты на создание модельных муниципальных библиотек предоставляются на реализацию следующих мероприятий:</w:t>
      </w:r>
    </w:p>
    <w:p>
      <w:pPr>
        <w:pStyle w:val="0"/>
        <w:spacing w:before="200" w:line-rule="auto"/>
        <w:ind w:firstLine="540"/>
        <w:jc w:val="both"/>
      </w:pPr>
      <w:r>
        <w:rPr>
          <w:sz w:val="20"/>
        </w:rPr>
        <w:t xml:space="preserve">создание современного библиотечного пространства (в том числе пополнение фондов муниципальных библиотек новыми книжными, периодическими изданиями, проведение текущих ремонтных работ, необходимых для реализации проекта, а также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pPr>
        <w:pStyle w:val="0"/>
        <w:jc w:val="both"/>
      </w:pPr>
      <w:r>
        <w:rPr>
          <w:sz w:val="20"/>
        </w:rPr>
        <w:t xml:space="preserve">(в ред. </w:t>
      </w:r>
      <w:hyperlink w:history="0" r:id="rId125"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03.06.2022 N 245-п)</w:t>
      </w:r>
    </w:p>
    <w:p>
      <w:pPr>
        <w:pStyle w:val="0"/>
        <w:spacing w:before="200" w:line-rule="auto"/>
        <w:ind w:firstLine="540"/>
        <w:jc w:val="both"/>
      </w:pPr>
      <w:r>
        <w:rPr>
          <w:sz w:val="20"/>
        </w:rPr>
        <w:t xml:space="preserve">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pPr>
        <w:pStyle w:val="0"/>
        <w:spacing w:before="200" w:line-rule="auto"/>
        <w:ind w:firstLine="540"/>
        <w:jc w:val="both"/>
      </w:pPr>
      <w:r>
        <w:rPr>
          <w:sz w:val="20"/>
        </w:rPr>
        <w:t xml:space="preserve">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pPr>
        <w:pStyle w:val="0"/>
        <w:spacing w:before="200" w:line-rule="auto"/>
        <w:ind w:firstLine="540"/>
        <w:jc w:val="both"/>
      </w:pPr>
      <w:r>
        <w:rPr>
          <w:sz w:val="20"/>
        </w:rPr>
        <w:t xml:space="preserve">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создание точки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приобретение необходимого оборудования для обеспечения доступа к информационным ресурсам;</w:t>
      </w:r>
    </w:p>
    <w:p>
      <w:pPr>
        <w:pStyle w:val="0"/>
        <w:spacing w:before="200" w:line-rule="auto"/>
        <w:ind w:firstLine="540"/>
        <w:jc w:val="both"/>
      </w:pPr>
      <w:r>
        <w:rPr>
          <w:sz w:val="20"/>
        </w:rPr>
        <w:t xml:space="preserve">обеспечение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pPr>
        <w:pStyle w:val="0"/>
        <w:spacing w:before="200" w:line-rule="auto"/>
        <w:ind w:firstLine="540"/>
        <w:jc w:val="both"/>
      </w:pPr>
      <w:r>
        <w:rPr>
          <w:sz w:val="20"/>
        </w:rPr>
        <w:t xml:space="preserve">6. Условиями предоставления иных межбюджетных трансфертов являются:</w:t>
      </w:r>
    </w:p>
    <w:p>
      <w:pPr>
        <w:pStyle w:val="0"/>
        <w:spacing w:before="200" w:line-rule="auto"/>
        <w:ind w:firstLine="540"/>
        <w:jc w:val="both"/>
      </w:pPr>
      <w:r>
        <w:rPr>
          <w:sz w:val="20"/>
        </w:rPr>
        <w:t xml:space="preserve">наличие утвержденного нормативного правового акта муниципального образования, устанавливающего его расходные обязательства, реализация которых осуществляется за счет иных межбюджетных трансфертов для достижения результатов реализации регионального проекта;</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7. Предоставление иных межбюджетных трансфертов муниципальному образованию осуществляется на основании соглашения, заключаемого в соответствии с типовой формой, утвержденной Министерством финансов Российской Федерации (далее - Соглашение)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Иные межбюджетные трансферты предоставляются бюджету муниципального образования в пределах лимитов бюджетных ассигнований, предусмотренных законом о бюджете автономного округа на соответствующий финансовый год и плановый период по государственной </w:t>
      </w:r>
      <w:hyperlink w:history="0" r:id="rId126"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программе</w:t>
        </w:r>
      </w:hyperlink>
      <w:r>
        <w:rPr>
          <w:sz w:val="20"/>
        </w:rPr>
        <w:t xml:space="preserve"> "Культурное пространство", из них средства федерального бюджета составляют 100 процентов.</w:t>
      </w:r>
    </w:p>
    <w:p>
      <w:pPr>
        <w:pStyle w:val="0"/>
        <w:spacing w:before="200" w:line-rule="auto"/>
        <w:ind w:firstLine="540"/>
        <w:jc w:val="both"/>
      </w:pPr>
      <w:r>
        <w:rPr>
          <w:sz w:val="20"/>
        </w:rPr>
        <w:t xml:space="preserve">8. Распределение иных межбюджетных трансфертов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Порядок, утвержденный постановлением Правительства РФ от 18.03.2019 N 281, а не Правила.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Иные межбюджетные трансферты предоставляются муниципальным образованиям по результатам конкурсного отбора, проводимого Министерством культуры Российской Федерации (далее - Минкультуры РФ) в соответствии с </w:t>
      </w:r>
      <w:hyperlink w:history="0" r:id="rId127"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Правилами</w:t>
        </w:r>
      </w:hyperlink>
      <w:r>
        <w:rPr>
          <w:sz w:val="20"/>
        </w:rP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утвержденными постановлением Правительства Российской Федерации от 18 марта 2019 года N 281 (далее - Правила представления иных межбюджетных трансфертов).</w:t>
      </w:r>
    </w:p>
    <w:p>
      <w:pPr>
        <w:pStyle w:val="0"/>
        <w:spacing w:before="200" w:line-rule="auto"/>
        <w:ind w:firstLine="540"/>
        <w:jc w:val="both"/>
      </w:pPr>
      <w:r>
        <w:rPr>
          <w:sz w:val="20"/>
        </w:rPr>
        <w:t xml:space="preserve">10. Конкурсный отбор заявок муниципальных образований для получения иных межбюджетных трансфертов проводится в соответствии с приказом Департамента культуры автономного округа "Об утверждении Порядка предоставления заявок на проведение конкурсного отбора городских округов и муниципальных районов Ханты-Мансийского автономного округа - Югры для получения иных межбюджетных трансфертов из федерального бюджета, предоставляемых бюджету Ханты-Мансийского автономного округа - Югры на создание модельных муниципальных библиотек в целях реализации национального проекта "Культура" (далее - приказ Департамента).</w:t>
      </w:r>
    </w:p>
    <w:p>
      <w:pPr>
        <w:pStyle w:val="0"/>
        <w:spacing w:before="200" w:line-rule="auto"/>
        <w:ind w:firstLine="540"/>
        <w:jc w:val="both"/>
      </w:pPr>
      <w:r>
        <w:rPr>
          <w:sz w:val="20"/>
        </w:rPr>
        <w:t xml:space="preserve">Для участия в конкурсном отборе Департамент со дня уведомления Минкультуры РФ, запрашивает у муниципальных образований сведения, указанные в </w:t>
      </w:r>
      <w:hyperlink w:history="0" r:id="rId128"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пункте 4</w:t>
        </w:r>
      </w:hyperlink>
      <w:r>
        <w:rPr>
          <w:sz w:val="20"/>
        </w:rPr>
        <w:t xml:space="preserve"> приложения 1 к Правилам предоставления иных межбюджетных трансфертов.</w:t>
      </w:r>
    </w:p>
    <w:p>
      <w:pPr>
        <w:pStyle w:val="0"/>
        <w:spacing w:before="200" w:line-rule="auto"/>
        <w:ind w:firstLine="540"/>
        <w:jc w:val="both"/>
      </w:pPr>
      <w:r>
        <w:rPr>
          <w:sz w:val="20"/>
        </w:rPr>
        <w:t xml:space="preserve">Департамент из заявок муниципальных образований, прошедших конкурсный отбор, формирует и направляет заявки на участие в конкурсном отборе Минкультуры РФ (далее - заявка).</w:t>
      </w:r>
    </w:p>
    <w:p>
      <w:pPr>
        <w:pStyle w:val="0"/>
        <w:spacing w:before="200" w:line-rule="auto"/>
        <w:ind w:firstLine="540"/>
        <w:jc w:val="both"/>
      </w:pPr>
      <w:r>
        <w:rPr>
          <w:sz w:val="20"/>
        </w:rPr>
        <w:t xml:space="preserve">Для участия в конкурсном отборе Департамент может направить в Минкультуры РФ не более 20 заявок.</w:t>
      </w:r>
    </w:p>
    <w:p>
      <w:pPr>
        <w:pStyle w:val="0"/>
        <w:spacing w:before="200" w:line-rule="auto"/>
        <w:ind w:firstLine="540"/>
        <w:jc w:val="both"/>
      </w:pPr>
      <w:r>
        <w:rPr>
          <w:sz w:val="20"/>
        </w:rPr>
        <w:t xml:space="preserve">Каждая заявка включает сведения об одной муниципальной библиотеке, находящейся на территории муниципального образования автономного округа, желающей принять участие в проекте по созданию модельной библиотеки.</w:t>
      </w:r>
    </w:p>
    <w:p>
      <w:pPr>
        <w:pStyle w:val="0"/>
        <w:spacing w:before="200" w:line-rule="auto"/>
        <w:ind w:firstLine="540"/>
        <w:jc w:val="both"/>
      </w:pPr>
      <w:r>
        <w:rPr>
          <w:sz w:val="20"/>
        </w:rPr>
        <w:t xml:space="preserve">11. В течение финансового года проводятся конкурсные отборы.</w:t>
      </w:r>
    </w:p>
    <w:p>
      <w:pPr>
        <w:pStyle w:val="0"/>
        <w:spacing w:before="200" w:line-rule="auto"/>
        <w:ind w:firstLine="540"/>
        <w:jc w:val="both"/>
      </w:pPr>
      <w:r>
        <w:rPr>
          <w:sz w:val="20"/>
        </w:rPr>
        <w:t xml:space="preserve">В случае если муниципальная библиотека не стала по результатам конкурсного отбора Минкультуры РФ победителем, Департамент имеет право направить данную заявку на участие в следующем конкурсном отборе.</w:t>
      </w:r>
    </w:p>
    <w:p>
      <w:pPr>
        <w:pStyle w:val="0"/>
        <w:spacing w:before="200" w:line-rule="auto"/>
        <w:ind w:firstLine="540"/>
        <w:jc w:val="both"/>
      </w:pPr>
      <w:r>
        <w:rPr>
          <w:sz w:val="20"/>
        </w:rPr>
        <w:t xml:space="preserve">12. Победителям конкурсного отбора в соответствии с поданными заявками предоставляются иные межбюджетные трансферты в размерах, установленном в </w:t>
      </w:r>
      <w:hyperlink w:history="0" r:id="rId129"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пункте 16</w:t>
        </w:r>
      </w:hyperlink>
      <w:r>
        <w:rPr>
          <w:sz w:val="20"/>
        </w:rPr>
        <w:t xml:space="preserve"> Правил предоставления иных межбюджетных трансфертов.</w:t>
      </w:r>
    </w:p>
    <w:p>
      <w:pPr>
        <w:pStyle w:val="0"/>
        <w:spacing w:before="200" w:line-rule="auto"/>
        <w:ind w:firstLine="540"/>
        <w:jc w:val="both"/>
      </w:pPr>
      <w:r>
        <w:rPr>
          <w:sz w:val="20"/>
        </w:rPr>
        <w:t xml:space="preserve">13. Перечисление иных межбюджетных трансфертов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иных межбюджетных трансфертов.</w:t>
      </w:r>
    </w:p>
    <w:p>
      <w:pPr>
        <w:pStyle w:val="0"/>
        <w:spacing w:before="200" w:line-rule="auto"/>
        <w:ind w:firstLine="540"/>
        <w:jc w:val="both"/>
      </w:pPr>
      <w:r>
        <w:rPr>
          <w:sz w:val="20"/>
        </w:rPr>
        <w:t xml:space="preserve">14. Результатом использования иных межбюджетных трансфертов является количество созданных модельных муниципальных библиотек, которое устанавливается Соглашением.</w:t>
      </w:r>
    </w:p>
    <w:p>
      <w:pPr>
        <w:pStyle w:val="0"/>
        <w:spacing w:before="200" w:line-rule="auto"/>
        <w:ind w:firstLine="540"/>
        <w:jc w:val="both"/>
      </w:pPr>
      <w:r>
        <w:rPr>
          <w:sz w:val="20"/>
        </w:rPr>
        <w:t xml:space="preserve">Оценка эффективности предоставления иных межбюджетных трансфертов осуществляется Департаментом в порядке и сроки, определенные Соглашением.</w:t>
      </w:r>
    </w:p>
    <w:p>
      <w:pPr>
        <w:pStyle w:val="0"/>
        <w:spacing w:before="200" w:line-rule="auto"/>
        <w:ind w:firstLine="540"/>
        <w:jc w:val="both"/>
      </w:pPr>
      <w:r>
        <w:rPr>
          <w:sz w:val="20"/>
        </w:rPr>
        <w:t xml:space="preserve">15. Иные межбюджетные трансферты, не использованные на конец финансового года, подлежат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16. В случае несоблюдения муниципальным образованием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его результата предоставления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средства, подлежат возврату в бюджет автономного округа в размере, определенном Департаментом в соответствии с </w:t>
      </w:r>
      <w:hyperlink w:history="0" r:id="rId130"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пунктом 21</w:t>
        </w:r>
      </w:hyperlink>
      <w:r>
        <w:rPr>
          <w:sz w:val="20"/>
        </w:rPr>
        <w:t xml:space="preserve"> Правил предоставления иных межбюджетных трансфертов.</w:t>
      </w:r>
    </w:p>
    <w:p>
      <w:pPr>
        <w:pStyle w:val="0"/>
        <w:spacing w:before="200" w:line-rule="auto"/>
        <w:ind w:firstLine="540"/>
        <w:jc w:val="both"/>
      </w:pPr>
      <w:r>
        <w:rPr>
          <w:sz w:val="20"/>
        </w:rPr>
        <w:t xml:space="preserve">18. Контроль за соблюдением муниципальным образованием использования иных межбюджетных трансфертов осуществляет Департамент и уполномоченные органы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480" w:name="P480"/>
    <w:bookmarkEnd w:id="480"/>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МОДЕРНИЗАЦИЮ МУНИЦИПАЛЬНЫХ</w:t>
      </w:r>
    </w:p>
    <w:p>
      <w:pPr>
        <w:pStyle w:val="2"/>
        <w:jc w:val="center"/>
      </w:pPr>
      <w:r>
        <w:rPr>
          <w:sz w:val="20"/>
        </w:rPr>
        <w:t xml:space="preserve">УЧРЕЖДЕНИЙ КУЛЬТУРЫ, В ТОМ ЧИСЛЕ ЗА СЧЕТ СРЕДСТВ</w:t>
      </w:r>
    </w:p>
    <w:p>
      <w:pPr>
        <w:pStyle w:val="2"/>
        <w:jc w:val="center"/>
      </w:pPr>
      <w:r>
        <w:rPr>
          <w:sz w:val="20"/>
        </w:rPr>
        <w:t xml:space="preserve">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131"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03.06.2022 </w:t>
            </w:r>
            <w:hyperlink w:history="0" r:id="rId132"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245-п</w:t>
              </w:r>
            </w:hyperlink>
            <w:r>
              <w:rPr>
                <w:sz w:val="20"/>
                <w:color w:val="392c69"/>
              </w:rPr>
              <w:t xml:space="preserve">, от 01.09.2022 </w:t>
            </w:r>
            <w:hyperlink w:history="0" r:id="rId133"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color w:val="392c69"/>
              </w:rPr>
              <w:t xml:space="preserve">, от 13.01.2023 </w:t>
            </w:r>
            <w:hyperlink w:history="0" r:id="rId134"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муниципальные образования, автономный округ) на модернизацию муниципальных учреждений культуры (далее - учреждения культуры, Объект), в том числе за счет средств федерального бюджета (далее - Субсидия).</w:t>
      </w:r>
    </w:p>
    <w:p>
      <w:pPr>
        <w:pStyle w:val="0"/>
        <w:spacing w:before="200" w:line-rule="auto"/>
        <w:ind w:firstLine="540"/>
        <w:jc w:val="both"/>
      </w:pPr>
      <w:r>
        <w:rPr>
          <w:sz w:val="20"/>
        </w:rP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w:history="0" r:id="rId13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проекта</w:t>
        </w:r>
      </w:hyperlink>
      <w:r>
        <w:rPr>
          <w:sz w:val="20"/>
        </w:rPr>
        <w:t xml:space="preserve"> "Культурная среда"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"О государственной программе Ханты-Мансийского автономного округа - Югры "Культурное пространство"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3. Субсидия предоставляется в целях софинансирования расходных обязательств муниципальных образований, связанных с реализацией регионального проекта, предусматривающего мероприятия по модернизации муниципальных учреждений культуры, в том числе:</w:t>
      </w:r>
    </w:p>
    <w:p>
      <w:pPr>
        <w:pStyle w:val="0"/>
        <w:spacing w:before="200" w:line-rule="auto"/>
        <w:ind w:firstLine="540"/>
        <w:jc w:val="both"/>
      </w:pPr>
      <w:r>
        <w:rPr>
          <w:sz w:val="20"/>
        </w:rPr>
        <w:t xml:space="preserve">реконструкция (и или) капитальный ремонт муниципальных детских школ искусств;</w:t>
      </w:r>
    </w:p>
    <w:p>
      <w:pPr>
        <w:pStyle w:val="0"/>
        <w:jc w:val="both"/>
      </w:pPr>
      <w:r>
        <w:rPr>
          <w:sz w:val="20"/>
        </w:rPr>
        <w:t xml:space="preserve">(в ред. </w:t>
      </w:r>
      <w:hyperlink w:history="0" r:id="rId136"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реконструкция и капитальный ремонт муниципальных музеев;</w:t>
      </w:r>
    </w:p>
    <w:p>
      <w:pPr>
        <w:pStyle w:val="0"/>
        <w:jc w:val="both"/>
      </w:pPr>
      <w:r>
        <w:rPr>
          <w:sz w:val="20"/>
        </w:rPr>
        <w:t xml:space="preserve">(в ред. </w:t>
      </w:r>
      <w:hyperlink w:history="0" r:id="rId137"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абзац утратил силу с 13 января 2023 года. - </w:t>
      </w:r>
      <w:hyperlink w:history="0" r:id="rId138"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4. Субсидия предоставляется по результатам конкурсного отбора, порядок и сроки проведения которого, а также форму заявки для участия в конкурсном отборе устанавливает Департамент культуры автономного округа (далее - Департамент) и направляет в муниципальные образования через информационную систему автоматизации делопроизводства и электронного документооборота "Дело", а также размещает на своем официальном сайте.</w:t>
      </w:r>
    </w:p>
    <w:p>
      <w:pPr>
        <w:pStyle w:val="0"/>
        <w:jc w:val="both"/>
      </w:pPr>
      <w:r>
        <w:rPr>
          <w:sz w:val="20"/>
        </w:rPr>
        <w:t xml:space="preserve">(п. 4 в ред. </w:t>
      </w:r>
      <w:hyperlink w:history="0" r:id="rId13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5. 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наличие в муниципальном образовании детских школ искусств, музеев, сельских домов культуры, обеспеченных утвержденной в установленном порядке проектно-сметной документацией, утвержденной сметой на капитальный ремонт;</w:t>
      </w:r>
    </w:p>
    <w:p>
      <w:pPr>
        <w:pStyle w:val="0"/>
        <w:jc w:val="both"/>
      </w:pPr>
      <w:r>
        <w:rPr>
          <w:sz w:val="20"/>
        </w:rPr>
        <w:t xml:space="preserve">(в ред. </w:t>
      </w:r>
      <w:hyperlink w:history="0" r:id="rId140"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потребность в модернизации муниципальных учреждений культуры.</w:t>
      </w:r>
    </w:p>
    <w:p>
      <w:pPr>
        <w:pStyle w:val="0"/>
        <w:spacing w:before="200" w:line-rule="auto"/>
        <w:ind w:firstLine="540"/>
        <w:jc w:val="both"/>
      </w:pPr>
      <w:r>
        <w:rPr>
          <w:sz w:val="20"/>
        </w:rPr>
        <w:t xml:space="preserve">Корректировка проектно-сметной документации по Объекту, на которую при подаче заявки на предоставление Субсидии представлены положительные заключения государственной экспертизы проектной документации и (или) положительное заключение о достоверности определения сметной стоимости Объекта, а также корректировка утвержденной сметы на капитальный ремонт Объектов, в рамках заключенного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не допускается.</w:t>
      </w:r>
    </w:p>
    <w:p>
      <w:pPr>
        <w:pStyle w:val="0"/>
        <w:jc w:val="both"/>
      </w:pPr>
      <w:r>
        <w:rPr>
          <w:sz w:val="20"/>
        </w:rPr>
        <w:t xml:space="preserve">(в ред. </w:t>
      </w:r>
      <w:hyperlink w:history="0" r:id="rId141"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регионального проекта;</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и ответственность за неисполнение предусмотренных указанным Соглашением обязательств.</w:t>
      </w:r>
    </w:p>
    <w:bookmarkStart w:id="511" w:name="P511"/>
    <w:bookmarkEnd w:id="511"/>
    <w:p>
      <w:pPr>
        <w:pStyle w:val="0"/>
        <w:spacing w:before="200" w:line-rule="auto"/>
        <w:ind w:firstLine="540"/>
        <w:jc w:val="both"/>
      </w:pPr>
      <w:r>
        <w:rPr>
          <w:sz w:val="20"/>
        </w:rPr>
        <w:t xml:space="preserve">7. Для участия в отборе муниципальное образование представляет в порядке и сроки, установленные Департаментом:</w:t>
      </w:r>
    </w:p>
    <w:p>
      <w:pPr>
        <w:pStyle w:val="0"/>
        <w:jc w:val="both"/>
      </w:pPr>
      <w:r>
        <w:rPr>
          <w:sz w:val="20"/>
        </w:rPr>
        <w:t xml:space="preserve">(в ред. </w:t>
      </w:r>
      <w:hyperlink w:history="0" r:id="rId142"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заявку на участие в отборе, содержащую перечень детских школ искусств, музеев с обоснованием потребности улучшения условий их размещения (далее - Заявка);</w:t>
      </w:r>
    </w:p>
    <w:p>
      <w:pPr>
        <w:pStyle w:val="0"/>
        <w:jc w:val="both"/>
      </w:pPr>
      <w:r>
        <w:rPr>
          <w:sz w:val="20"/>
        </w:rPr>
        <w:t xml:space="preserve">(в ред. </w:t>
      </w:r>
      <w:hyperlink w:history="0" r:id="rId143"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выписку из муниципального нормативного правового акта, подтверждающую наличие бюджетных ассигнований на исполнение расходных обязательств по софинансированию мероприятия, или гарантийное письмо о выделении бюджетных ассигнований на исполнение расходных обязательств по софинансированию мероприятия;</w:t>
      </w:r>
    </w:p>
    <w:p>
      <w:pPr>
        <w:pStyle w:val="0"/>
        <w:spacing w:before="200" w:line-rule="auto"/>
        <w:ind w:firstLine="540"/>
        <w:jc w:val="both"/>
      </w:pPr>
      <w:r>
        <w:rPr>
          <w:sz w:val="20"/>
        </w:rPr>
        <w:t xml:space="preserve">проектно-сметную документацию, прошедшую государственную экспертизу на капитальный ремонт, или утвержденную смету на капитальный ремонт, в соответствии с Градостроительным </w:t>
      </w:r>
      <w:hyperlink w:history="0" r:id="rId1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очередной финансовый год;</w:t>
      </w:r>
    </w:p>
    <w:p>
      <w:pPr>
        <w:pStyle w:val="0"/>
        <w:jc w:val="both"/>
      </w:pPr>
      <w:r>
        <w:rPr>
          <w:sz w:val="20"/>
        </w:rPr>
        <w:t xml:space="preserve">(в ред. </w:t>
      </w:r>
      <w:hyperlink w:history="0" r:id="rId145"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гарантийное письмо или обоснование о проведении работ по разработке муниципальным образованием проектно-сметной документации на плановый период.</w:t>
      </w:r>
    </w:p>
    <w:p>
      <w:pPr>
        <w:pStyle w:val="0"/>
        <w:jc w:val="both"/>
      </w:pPr>
      <w:r>
        <w:rPr>
          <w:sz w:val="20"/>
        </w:rPr>
        <w:t xml:space="preserve">(п. 7 в ред. </w:t>
      </w:r>
      <w:hyperlink w:history="0" r:id="rId146"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03.06.2022 N 245-п)</w:t>
      </w:r>
    </w:p>
    <w:p>
      <w:pPr>
        <w:pStyle w:val="0"/>
        <w:spacing w:before="200" w:line-rule="auto"/>
        <w:ind w:firstLine="540"/>
        <w:jc w:val="both"/>
      </w:pPr>
      <w:r>
        <w:rPr>
          <w:sz w:val="20"/>
        </w:rPr>
        <w:t xml:space="preserve">8. Департамент рассматривает заявки и принимает решение о предоставлении Субсидии или об отказе в ее предоставлении в течение 15 календарных дней со дня окончания срока подачи заявок.</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представление документов, предусмотренных </w:t>
      </w:r>
      <w:hyperlink w:history="0" w:anchor="P511" w:tooltip="7. Для участия в отборе муниципальное образование представляет в порядке и сроки, установленные Департаментом:">
        <w:r>
          <w:rPr>
            <w:sz w:val="20"/>
            <w:color w:val="0000ff"/>
          </w:rPr>
          <w:t xml:space="preserve">пунктом 7</w:t>
        </w:r>
      </w:hyperlink>
      <w:r>
        <w:rPr>
          <w:sz w:val="20"/>
        </w:rPr>
        <w:t xml:space="preserve"> Порядка, не в полном объеме;</w:t>
      </w:r>
    </w:p>
    <w:p>
      <w:pPr>
        <w:pStyle w:val="0"/>
        <w:spacing w:before="200" w:line-rule="auto"/>
        <w:ind w:firstLine="540"/>
        <w:jc w:val="both"/>
      </w:pPr>
      <w:r>
        <w:rPr>
          <w:sz w:val="20"/>
        </w:rPr>
        <w:t xml:space="preserve">представление документов, указанных в </w:t>
      </w:r>
      <w:hyperlink w:history="0" w:anchor="P511" w:tooltip="7. Для участия в отборе муниципальное образование представляет в порядке и сроки, установленные Департаментом:">
        <w:r>
          <w:rPr>
            <w:sz w:val="20"/>
            <w:color w:val="0000ff"/>
          </w:rPr>
          <w:t xml:space="preserve">пункте 7</w:t>
        </w:r>
      </w:hyperlink>
      <w:r>
        <w:rPr>
          <w:sz w:val="20"/>
        </w:rPr>
        <w:t xml:space="preserve"> Порядка, с нарушением срока, установленного приказом Департамента.</w:t>
      </w:r>
    </w:p>
    <w:p>
      <w:pPr>
        <w:pStyle w:val="0"/>
        <w:jc w:val="both"/>
      </w:pPr>
      <w:r>
        <w:rPr>
          <w:sz w:val="20"/>
        </w:rPr>
        <w:t xml:space="preserve">(п. 8 в ред. </w:t>
      </w:r>
      <w:hyperlink w:history="0" r:id="rId147"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03.06.2022 N 245-п)</w:t>
      </w:r>
    </w:p>
    <w:p>
      <w:pPr>
        <w:pStyle w:val="0"/>
        <w:spacing w:before="200" w:line-rule="auto"/>
        <w:ind w:firstLine="540"/>
        <w:jc w:val="both"/>
      </w:pPr>
      <w:r>
        <w:rPr>
          <w:sz w:val="20"/>
        </w:rPr>
        <w:t xml:space="preserve">9. Утратил силу с 13 января 2023 года. - </w:t>
      </w:r>
      <w:hyperlink w:history="0" r:id="rId148"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10.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Абзац утратил силу с 13 января 2023 года. - </w:t>
      </w:r>
      <w:hyperlink w:history="0" r:id="rId14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11. 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w:history="0" r:id="rId15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22.1</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bookmarkStart w:id="530" w:name="P530"/>
    <w:bookmarkEnd w:id="530"/>
    <w:p>
      <w:pPr>
        <w:pStyle w:val="0"/>
        <w:spacing w:before="200" w:line-rule="auto"/>
        <w:ind w:firstLine="540"/>
        <w:jc w:val="both"/>
      </w:pPr>
      <w:r>
        <w:rPr>
          <w:sz w:val="20"/>
        </w:rPr>
        <w:t xml:space="preserve">12. Уровень софинансирования расходного обязательства бюджета i-го муниципального образования автономного округа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 на текущий финансовый год, рассчитанный в соответствии с </w:t>
      </w:r>
      <w:hyperlink w:history="0" r:id="rId151"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984"/>
        <w:gridCol w:w="3685"/>
      </w:tblGrid>
      <w:tr>
        <w:tc>
          <w:tcPr>
            <w:tcW w:w="3402" w:type="dxa"/>
          </w:tcPr>
          <w:p>
            <w:pPr>
              <w:pStyle w:val="0"/>
              <w:jc w:val="center"/>
            </w:pPr>
            <w:r>
              <w:rPr>
                <w:sz w:val="20"/>
              </w:rPr>
              <w:t xml:space="preserve">Уровень расчетной бюджетной обеспеченности муниципального образования</w:t>
            </w:r>
          </w:p>
        </w:tc>
        <w:tc>
          <w:tcPr>
            <w:tcW w:w="1984" w:type="dxa"/>
          </w:tcPr>
          <w:p>
            <w:pPr>
              <w:pStyle w:val="0"/>
              <w:jc w:val="center"/>
            </w:pPr>
            <w:r>
              <w:rPr>
                <w:sz w:val="20"/>
              </w:rPr>
              <w:t xml:space="preserve">Группа муниципального образования</w:t>
            </w:r>
          </w:p>
        </w:tc>
        <w:tc>
          <w:tcPr>
            <w:tcW w:w="3685"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w:t>
            </w:r>
          </w:p>
        </w:tc>
      </w:tr>
      <w:tr>
        <w:tc>
          <w:tcPr>
            <w:tcW w:w="3402" w:type="dxa"/>
          </w:tcPr>
          <w:p>
            <w:pPr>
              <w:pStyle w:val="0"/>
              <w:jc w:val="both"/>
            </w:pPr>
            <w:r>
              <w:rPr>
                <w:sz w:val="20"/>
              </w:rPr>
              <w:t xml:space="preserve">от 0 до 0,999</w:t>
            </w:r>
          </w:p>
        </w:tc>
        <w:tc>
          <w:tcPr>
            <w:tcW w:w="1984" w:type="dxa"/>
          </w:tcPr>
          <w:p>
            <w:pPr>
              <w:pStyle w:val="0"/>
              <w:jc w:val="both"/>
            </w:pPr>
            <w:r>
              <w:rPr>
                <w:sz w:val="20"/>
              </w:rPr>
              <w:t xml:space="preserve">1</w:t>
            </w:r>
          </w:p>
        </w:tc>
        <w:tc>
          <w:tcPr>
            <w:tcW w:w="3685" w:type="dxa"/>
          </w:tcPr>
          <w:p>
            <w:pPr>
              <w:pStyle w:val="0"/>
              <w:jc w:val="both"/>
            </w:pPr>
            <w:r>
              <w:rPr>
                <w:sz w:val="20"/>
              </w:rPr>
              <w:t xml:space="preserve">95%</w:t>
            </w:r>
          </w:p>
        </w:tc>
      </w:tr>
      <w:tr>
        <w:tc>
          <w:tcPr>
            <w:tcW w:w="3402" w:type="dxa"/>
          </w:tcPr>
          <w:p>
            <w:pPr>
              <w:pStyle w:val="0"/>
              <w:jc w:val="both"/>
            </w:pPr>
            <w:r>
              <w:rPr>
                <w:sz w:val="20"/>
              </w:rPr>
              <w:t xml:space="preserve">от 1,000 до 1,490</w:t>
            </w:r>
          </w:p>
        </w:tc>
        <w:tc>
          <w:tcPr>
            <w:tcW w:w="1984" w:type="dxa"/>
          </w:tcPr>
          <w:p>
            <w:pPr>
              <w:pStyle w:val="0"/>
              <w:jc w:val="both"/>
            </w:pPr>
            <w:r>
              <w:rPr>
                <w:sz w:val="20"/>
              </w:rPr>
              <w:t xml:space="preserve">2</w:t>
            </w:r>
          </w:p>
        </w:tc>
        <w:tc>
          <w:tcPr>
            <w:tcW w:w="3685" w:type="dxa"/>
          </w:tcPr>
          <w:p>
            <w:pPr>
              <w:pStyle w:val="0"/>
              <w:jc w:val="both"/>
            </w:pPr>
            <w:r>
              <w:rPr>
                <w:sz w:val="20"/>
              </w:rPr>
              <w:t xml:space="preserve">93%</w:t>
            </w:r>
          </w:p>
        </w:tc>
      </w:tr>
      <w:tr>
        <w:tc>
          <w:tcPr>
            <w:tcW w:w="3402" w:type="dxa"/>
          </w:tcPr>
          <w:p>
            <w:pPr>
              <w:pStyle w:val="0"/>
              <w:jc w:val="both"/>
            </w:pPr>
            <w:r>
              <w:rPr>
                <w:sz w:val="20"/>
              </w:rPr>
              <w:t xml:space="preserve">свыше 1,491</w:t>
            </w:r>
          </w:p>
        </w:tc>
        <w:tc>
          <w:tcPr>
            <w:tcW w:w="1984" w:type="dxa"/>
          </w:tcPr>
          <w:p>
            <w:pPr>
              <w:pStyle w:val="0"/>
              <w:jc w:val="both"/>
            </w:pPr>
            <w:r>
              <w:rPr>
                <w:sz w:val="20"/>
              </w:rPr>
              <w:t xml:space="preserve">3</w:t>
            </w:r>
          </w:p>
        </w:tc>
        <w:tc>
          <w:tcPr>
            <w:tcW w:w="3685" w:type="dxa"/>
          </w:tcPr>
          <w:p>
            <w:pPr>
              <w:pStyle w:val="0"/>
              <w:jc w:val="both"/>
            </w:pPr>
            <w:r>
              <w:rPr>
                <w:sz w:val="20"/>
              </w:rPr>
              <w:t xml:space="preserve">90%</w:t>
            </w:r>
          </w:p>
        </w:tc>
      </w:tr>
    </w:tbl>
    <w:p>
      <w:pPr>
        <w:pStyle w:val="0"/>
        <w:ind w:firstLine="540"/>
        <w:jc w:val="both"/>
      </w:pPr>
      <w:r>
        <w:rPr>
          <w:sz w:val="20"/>
        </w:rPr>
      </w:r>
    </w:p>
    <w:p>
      <w:pPr>
        <w:pStyle w:val="0"/>
        <w:ind w:firstLine="540"/>
        <w:jc w:val="both"/>
      </w:pPr>
      <w:r>
        <w:rPr>
          <w:sz w:val="20"/>
        </w:rPr>
        <w:t xml:space="preserve">Муниципальные образования вправе увеличивать объем финансирования мероприятия за счет привлеченных и собственных средств местных бюджетов, что не влечет обязательств по увеличению размера Субсидии из бюджета автономного округа.</w:t>
      </w:r>
    </w:p>
    <w:p>
      <w:pPr>
        <w:pStyle w:val="0"/>
        <w:spacing w:before="200" w:line-rule="auto"/>
        <w:ind w:firstLine="540"/>
        <w:jc w:val="both"/>
      </w:pPr>
      <w:r>
        <w:rPr>
          <w:sz w:val="20"/>
        </w:rPr>
        <w:t xml:space="preserve">13. Объем Субсидии (Vi), предоставляемой i-му муниципальному образованию автономного округа на соответствующий финансовый год, определяется по формуле:</w:t>
      </w:r>
    </w:p>
    <w:p>
      <w:pPr>
        <w:pStyle w:val="0"/>
        <w:ind w:firstLine="540"/>
        <w:jc w:val="both"/>
      </w:pPr>
      <w:r>
        <w:rPr>
          <w:sz w:val="20"/>
        </w:rPr>
      </w:r>
    </w:p>
    <w:p>
      <w:pPr>
        <w:pStyle w:val="0"/>
        <w:ind w:firstLine="540"/>
        <w:jc w:val="both"/>
      </w:pPr>
      <w:r>
        <w:rPr>
          <w:sz w:val="20"/>
        </w:rPr>
        <w:t xml:space="preserve">Vi = (Vобщ * Pi) / P, где:</w:t>
      </w:r>
    </w:p>
    <w:p>
      <w:pPr>
        <w:pStyle w:val="0"/>
        <w:ind w:firstLine="540"/>
        <w:jc w:val="both"/>
      </w:pPr>
      <w:r>
        <w:rPr>
          <w:sz w:val="20"/>
        </w:rPr>
      </w:r>
    </w:p>
    <w:p>
      <w:pPr>
        <w:pStyle w:val="0"/>
        <w:ind w:firstLine="540"/>
        <w:jc w:val="both"/>
      </w:pPr>
      <w:r>
        <w:rPr>
          <w:sz w:val="20"/>
        </w:rPr>
        <w:t xml:space="preserve">Vi - объем субсидии, предоставляемой i-му муниципальному образованию автономного округа из бюджета автономного округа, в том числе за счет средств федерального бюджета на соответствующий финансовый год;</w:t>
      </w:r>
    </w:p>
    <w:p>
      <w:pPr>
        <w:pStyle w:val="0"/>
        <w:spacing w:before="200" w:line-rule="auto"/>
        <w:ind w:firstLine="540"/>
        <w:jc w:val="both"/>
      </w:pPr>
      <w:r>
        <w:rPr>
          <w:sz w:val="20"/>
        </w:rPr>
        <w:t xml:space="preserve">Vобщ - общий объем расходов на модернизацию детских школ искусств i-го муниципальному образованию автономного округа на соответствующий финансовый год;</w:t>
      </w:r>
    </w:p>
    <w:p>
      <w:pPr>
        <w:pStyle w:val="0"/>
        <w:spacing w:before="200" w:line-rule="auto"/>
        <w:ind w:firstLine="540"/>
        <w:jc w:val="both"/>
      </w:pPr>
      <w:r>
        <w:rPr>
          <w:sz w:val="20"/>
        </w:rPr>
        <w:t xml:space="preserve">Pi - объем сметной стоимости работ по капитальному ремонту детских школ искусств i-го муниципальному образованию автономного округа согласно предоставляемой заявке на соответствующий финансовый год;</w:t>
      </w:r>
    </w:p>
    <w:p>
      <w:pPr>
        <w:pStyle w:val="0"/>
        <w:spacing w:before="200" w:line-rule="auto"/>
        <w:ind w:firstLine="540"/>
        <w:jc w:val="both"/>
      </w:pPr>
      <w:r>
        <w:rPr>
          <w:sz w:val="20"/>
        </w:rPr>
        <w:t xml:space="preserve">Р - общий объем сметной стоимости работ по капитальному ремонту детских школ искусств муниципальных образований автономного округа согласно предоставляемой заявке на соответствующий финансовый год.</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530" w:tooltip="12. Уровень софинансирования расходного обязательства бюджета i-го муниципального образования автономного округа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 на текущий финансовый год, рассчитанный в соответствии с разделом IV Методики распределения дотаций на выравнивание бюджетной обеспеченности муниципальных районов (городских округов), утвержденной Законом ав...">
        <w:r>
          <w:rPr>
            <w:sz w:val="20"/>
            <w:color w:val="0000ff"/>
          </w:rPr>
          <w:t xml:space="preserve">пункте 12</w:t>
        </w:r>
      </w:hyperlink>
      <w:r>
        <w:rPr>
          <w:sz w:val="20"/>
        </w:rPr>
        <w:t xml:space="preserve"> Порядка.</w:t>
      </w:r>
    </w:p>
    <w:p>
      <w:pPr>
        <w:pStyle w:val="0"/>
        <w:jc w:val="both"/>
      </w:pPr>
      <w:r>
        <w:rPr>
          <w:sz w:val="20"/>
        </w:rPr>
        <w:t xml:space="preserve">(п. 13 в ред. </w:t>
      </w:r>
      <w:hyperlink w:history="0" r:id="rId152"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14.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15. Соглашение должно содержать информацию, указанную в </w:t>
      </w:r>
      <w:hyperlink w:history="0" r:id="rId15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предоставления Субсидий.</w:t>
      </w:r>
    </w:p>
    <w:p>
      <w:pPr>
        <w:pStyle w:val="0"/>
        <w:spacing w:before="200" w:line-rule="auto"/>
        <w:ind w:firstLine="540"/>
        <w:jc w:val="both"/>
      </w:pPr>
      <w:r>
        <w:rPr>
          <w:sz w:val="20"/>
        </w:rPr>
        <w:t xml:space="preserve">16.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17.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18.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15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19.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15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или результатов регионального проекта, а также в случае сокращения размера Субсидии.</w:t>
      </w:r>
    </w:p>
    <w:p>
      <w:pPr>
        <w:pStyle w:val="0"/>
        <w:spacing w:before="200" w:line-rule="auto"/>
        <w:ind w:firstLine="540"/>
        <w:jc w:val="both"/>
      </w:pPr>
      <w:r>
        <w:rPr>
          <w:sz w:val="20"/>
        </w:rPr>
        <w:t xml:space="preserve">20.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21. Результатом использования Субсидии является достижение значения показателя "Количество созданных (реконструированных) и капитально отремонтированных Объектов организаций культуры", включающего:</w:t>
      </w:r>
    </w:p>
    <w:p>
      <w:pPr>
        <w:pStyle w:val="0"/>
        <w:spacing w:before="200" w:line-rule="auto"/>
        <w:ind w:firstLine="540"/>
        <w:jc w:val="both"/>
      </w:pPr>
      <w:r>
        <w:rPr>
          <w:sz w:val="20"/>
        </w:rPr>
        <w:t xml:space="preserve">количество зданий муниципальных детских школ искусств по видам искусств, в которых выполнены мероприятия по капитальному ремонту;</w:t>
      </w:r>
    </w:p>
    <w:p>
      <w:pPr>
        <w:pStyle w:val="0"/>
        <w:spacing w:before="200" w:line-rule="auto"/>
        <w:ind w:firstLine="540"/>
        <w:jc w:val="both"/>
      </w:pPr>
      <w:r>
        <w:rPr>
          <w:sz w:val="20"/>
        </w:rPr>
        <w:t xml:space="preserve">количество зданий муниципальных музеев, в которых выполнены мероприятия по капитальному ремонту;</w:t>
      </w:r>
    </w:p>
    <w:p>
      <w:pPr>
        <w:pStyle w:val="0"/>
        <w:spacing w:before="200" w:line-rule="auto"/>
        <w:ind w:firstLine="540"/>
        <w:jc w:val="both"/>
      </w:pPr>
      <w:r>
        <w:rPr>
          <w:sz w:val="20"/>
        </w:rPr>
        <w:t xml:space="preserve">абзац утратил силу с 13 января 2023 года. - </w:t>
      </w:r>
      <w:hyperlink w:history="0" r:id="rId156"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22.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23.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24.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15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25.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15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26.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27.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28.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w:history="0" r:id="rId15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16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16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3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29.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30.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16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16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31.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32.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596" w:name="P596"/>
    <w:bookmarkEnd w:id="596"/>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АВТОНОМНОЙ</w:t>
      </w:r>
    </w:p>
    <w:p>
      <w:pPr>
        <w:pStyle w:val="2"/>
        <w:jc w:val="center"/>
      </w:pPr>
      <w:r>
        <w:rPr>
          <w:sz w:val="20"/>
        </w:rPr>
        <w:t xml:space="preserve">НЕКОММЕРЧЕСКОЙ ОРГАНИЗАЦИИ "МУЛЬТИМЕДИЙНЫЙ ИСТОРИЧЕСКИЙ ПАРК</w:t>
      </w:r>
    </w:p>
    <w:p>
      <w:pPr>
        <w:pStyle w:val="2"/>
        <w:jc w:val="center"/>
      </w:pPr>
      <w:r>
        <w:rPr>
          <w:sz w:val="20"/>
        </w:rPr>
        <w:t xml:space="preserve">"МОЯ ИСТОРИЯ" НА ОСУЩЕСТВЛЕНИЕ ДЕЯТЕЛЬНОСТИ, РЕАЛИЗАЦИЮ</w:t>
      </w:r>
    </w:p>
    <w:p>
      <w:pPr>
        <w:pStyle w:val="2"/>
        <w:jc w:val="center"/>
      </w:pPr>
      <w:r>
        <w:rPr>
          <w:sz w:val="20"/>
        </w:rPr>
        <w:t xml:space="preserve">МЕРОПРИЯТИЙ, НАПРАВЛЕННЫХ НА НАУЧНО-ИССЛЕДОВАТЕЛЬСКУЮ</w:t>
      </w:r>
    </w:p>
    <w:p>
      <w:pPr>
        <w:pStyle w:val="2"/>
        <w:jc w:val="center"/>
      </w:pPr>
      <w:r>
        <w:rPr>
          <w:sz w:val="20"/>
        </w:rPr>
        <w:t xml:space="preserve">ДЕЯТЕЛЬНОСТЬ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164"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03.06.2022 </w:t>
            </w:r>
            <w:hyperlink w:history="0" r:id="rId165"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245-п</w:t>
              </w:r>
            </w:hyperlink>
            <w:r>
              <w:rPr>
                <w:sz w:val="20"/>
                <w:color w:val="392c69"/>
              </w:rPr>
              <w:t xml:space="preserve">, от 01.09.2022 </w:t>
            </w:r>
            <w:hyperlink w:history="0" r:id="rId166"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Порядок разработан в соответствии с Бюджетным </w:t>
      </w:r>
      <w:hyperlink w:history="0" r:id="rId16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определяет цели, условия и правила предоставления субсидии из бюджета Ханты-Мансийского автономного округа - Югры автономной некоммерческой организации "Мультимедийный исторический парк "Моя история" (далее - некоммерческая организация) на осуществление деятельности, реализацию мероприятий, направленных на научно-исследовательскую деятельность (далее - Субсидия).</w:t>
      </w:r>
    </w:p>
    <w:p>
      <w:pPr>
        <w:pStyle w:val="0"/>
        <w:spacing w:before="200" w:line-rule="auto"/>
        <w:ind w:firstLine="540"/>
        <w:jc w:val="both"/>
      </w:pPr>
      <w:r>
        <w:rPr>
          <w:sz w:val="20"/>
        </w:rPr>
        <w:t xml:space="preserve">1.2. Субсидия предоставляется за счет средств бюджета автономного округа в размере, предусмотренном Законом о бюджете автономного округа на соответствующий финансовый год и на плановый период.</w:t>
      </w:r>
    </w:p>
    <w:p>
      <w:pPr>
        <w:pStyle w:val="0"/>
        <w:spacing w:before="200" w:line-rule="auto"/>
        <w:ind w:firstLine="540"/>
        <w:jc w:val="both"/>
      </w:pPr>
      <w:r>
        <w:rPr>
          <w:sz w:val="20"/>
        </w:rPr>
        <w:t xml:space="preserve">1.3.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предусмотренные на реализацию проекта автономного округа "Создание академической истории Ханты-Мансийского автономного округа - Югры" и основного </w:t>
      </w:r>
      <w:hyperlink w:history="0" r:id="rId16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мероприятия 2.7</w:t>
        </w:r>
      </w:hyperlink>
      <w:r>
        <w:rPr>
          <w:sz w:val="20"/>
        </w:rPr>
        <w:t xml:space="preserve"> "Стимулирование культурного разнообразия в автономном округе"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w:t>
      </w:r>
    </w:p>
    <w:p>
      <w:pPr>
        <w:pStyle w:val="0"/>
        <w:jc w:val="both"/>
      </w:pPr>
      <w:r>
        <w:rPr>
          <w:sz w:val="20"/>
        </w:rPr>
        <w:t xml:space="preserve">(в ред. </w:t>
      </w:r>
      <w:hyperlink w:history="0" r:id="rId169"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bookmarkStart w:id="613" w:name="P613"/>
    <w:bookmarkEnd w:id="613"/>
    <w:p>
      <w:pPr>
        <w:pStyle w:val="0"/>
        <w:spacing w:before="200" w:line-rule="auto"/>
        <w:ind w:firstLine="540"/>
        <w:jc w:val="both"/>
      </w:pPr>
      <w:r>
        <w:rPr>
          <w:sz w:val="20"/>
        </w:rPr>
        <w:t xml:space="preserve">1.4. Субсидия предоставляется в целях:</w:t>
      </w:r>
    </w:p>
    <w:p>
      <w:pPr>
        <w:pStyle w:val="0"/>
        <w:spacing w:before="200" w:line-rule="auto"/>
        <w:ind w:firstLine="540"/>
        <w:jc w:val="both"/>
      </w:pPr>
      <w:r>
        <w:rPr>
          <w:sz w:val="20"/>
        </w:rPr>
        <w:t xml:space="preserve">реализации проекта "Создание академической истории Ханты-Мансийского автономного округа - Югры";</w:t>
      </w:r>
    </w:p>
    <w:p>
      <w:pPr>
        <w:pStyle w:val="0"/>
        <w:spacing w:before="200" w:line-rule="auto"/>
        <w:ind w:firstLine="540"/>
        <w:jc w:val="both"/>
      </w:pPr>
      <w:r>
        <w:rPr>
          <w:sz w:val="20"/>
        </w:rPr>
        <w:t xml:space="preserve">финансового обеспечения затрат некоммерческой организации, связанных с осуществлением их деятельности;</w:t>
      </w:r>
    </w:p>
    <w:p>
      <w:pPr>
        <w:pStyle w:val="0"/>
        <w:spacing w:before="200" w:line-rule="auto"/>
        <w:ind w:firstLine="540"/>
        <w:jc w:val="both"/>
      </w:pPr>
      <w:r>
        <w:rPr>
          <w:sz w:val="20"/>
        </w:rPr>
        <w:t xml:space="preserve">1.5. Сведения о Субсидии Департамент размещает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автономного округа на очередной финансовый год и плановый период (проекта закона внесения изменений в него) (при наличии технической возможности).</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Субсидии</w:t>
      </w:r>
    </w:p>
    <w:p>
      <w:pPr>
        <w:pStyle w:val="0"/>
        <w:ind w:firstLine="540"/>
        <w:jc w:val="both"/>
      </w:pPr>
      <w:r>
        <w:rPr>
          <w:sz w:val="20"/>
        </w:rPr>
      </w:r>
    </w:p>
    <w:p>
      <w:pPr>
        <w:pStyle w:val="0"/>
        <w:ind w:firstLine="540"/>
        <w:jc w:val="both"/>
      </w:pPr>
      <w:r>
        <w:rPr>
          <w:sz w:val="20"/>
        </w:rPr>
        <w:t xml:space="preserve">2.1. Предоставление субсидии осуществляется на основании соглашения о предоставлении субсидии, которое заключает Департамент с некоммерческой организацией в соответствии с типовой формой, установленной приказом Департамента финансов автономного округа (далее - Соглашение).</w:t>
      </w:r>
    </w:p>
    <w:p>
      <w:pPr>
        <w:pStyle w:val="0"/>
        <w:spacing w:before="200" w:line-rule="auto"/>
        <w:ind w:firstLine="540"/>
        <w:jc w:val="both"/>
      </w:pPr>
      <w:r>
        <w:rPr>
          <w:sz w:val="20"/>
        </w:rPr>
        <w:t xml:space="preserve">Соглашение, дополнительное Соглашение о внесении в него изменений и дополнительное соглашение о расторжении Соглашения заключается в государственной информационной системе автономного округа "Региональный электронный бюджет Югры" (далее - информационная система).</w:t>
      </w:r>
    </w:p>
    <w:p>
      <w:pPr>
        <w:pStyle w:val="0"/>
        <w:spacing w:before="200" w:line-rule="auto"/>
        <w:ind w:firstLine="540"/>
        <w:jc w:val="both"/>
      </w:pPr>
      <w:r>
        <w:rPr>
          <w:sz w:val="20"/>
        </w:rPr>
        <w:t xml:space="preserve">Департамент формирует и направляет Соглашение в информационной системе в течение 10 рабочих дней с даты принятия решения, указанного в </w:t>
      </w:r>
      <w:hyperlink w:history="0" w:anchor="P635" w:tooltip="2.3.2. Рассматривает документы, указанные в пункте 2.2 Порядка, и в срок, не превышающий 7 рабочих дней с даты предоставления документов, указанных в пункте 2.2 Порядка, принимает решение о предоставлении субсидии и заключении Соглашения или об отказе в предоставлении субсидии и заключении Соглашения по основаниям, предусмотренным пунктом 2.4 Порядка.">
        <w:r>
          <w:rPr>
            <w:sz w:val="20"/>
            <w:color w:val="0000ff"/>
          </w:rPr>
          <w:t xml:space="preserve">подпункте 2.3.2 пункта 2.3</w:t>
        </w:r>
      </w:hyperlink>
      <w:r>
        <w:rPr>
          <w:sz w:val="20"/>
        </w:rPr>
        <w:t xml:space="preserve"> Порядка.</w:t>
      </w:r>
    </w:p>
    <w:p>
      <w:pPr>
        <w:pStyle w:val="0"/>
        <w:spacing w:before="200" w:line-rule="auto"/>
        <w:ind w:firstLine="540"/>
        <w:jc w:val="both"/>
      </w:pPr>
      <w:r>
        <w:rPr>
          <w:sz w:val="20"/>
        </w:rPr>
        <w:t xml:space="preserve">Некоммерческая организация в течение 10 рабочих дней со дня получения Соглашения подписывает его.</w:t>
      </w:r>
    </w:p>
    <w:p>
      <w:pPr>
        <w:pStyle w:val="0"/>
        <w:spacing w:before="200" w:line-rule="auto"/>
        <w:ind w:firstLine="540"/>
        <w:jc w:val="both"/>
      </w:pPr>
      <w:r>
        <w:rPr>
          <w:sz w:val="20"/>
        </w:rPr>
        <w:t xml:space="preserve">Департамент подписывает Соглашение в течение 5 рабочих дней после подписания Соглашения некоммерческой организацией.</w:t>
      </w:r>
    </w:p>
    <w:p>
      <w:pPr>
        <w:pStyle w:val="0"/>
        <w:spacing w:before="200" w:line-rule="auto"/>
        <w:ind w:firstLine="540"/>
        <w:jc w:val="both"/>
      </w:pPr>
      <w:r>
        <w:rPr>
          <w:sz w:val="20"/>
        </w:rPr>
        <w:t xml:space="preserve">Получатель в течение 5 рабочих дней с даты получения проекта Соглашения подписывает и представляет его в Департамент лично или почтовым отправлением. Получатель,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до даты его передачи получателем почтовой организации), считается отказавшимся от получения субсидии.</w:t>
      </w:r>
    </w:p>
    <w:bookmarkStart w:id="626" w:name="P626"/>
    <w:bookmarkEnd w:id="626"/>
    <w:p>
      <w:pPr>
        <w:pStyle w:val="0"/>
        <w:spacing w:before="200" w:line-rule="auto"/>
        <w:ind w:firstLine="540"/>
        <w:jc w:val="both"/>
      </w:pPr>
      <w:r>
        <w:rPr>
          <w:sz w:val="20"/>
        </w:rPr>
        <w:t xml:space="preserve">2.2. Перечень документов, представляемых некоммерческой организацией в Департамент для заключения Соглашения:</w:t>
      </w:r>
    </w:p>
    <w:p>
      <w:pPr>
        <w:pStyle w:val="0"/>
        <w:spacing w:before="200" w:line-rule="auto"/>
        <w:ind w:firstLine="540"/>
        <w:jc w:val="both"/>
      </w:pPr>
      <w:r>
        <w:rPr>
          <w:sz w:val="20"/>
        </w:rPr>
        <w:t xml:space="preserve">2.2.1. Заявка по типовому образцу, размещенному на официальном сайте Департамента, содержащая запрашиваемый объем Субсидии, по форме, установленной Департаментом.</w:t>
      </w:r>
    </w:p>
    <w:p>
      <w:pPr>
        <w:pStyle w:val="0"/>
        <w:spacing w:before="200" w:line-rule="auto"/>
        <w:ind w:firstLine="540"/>
        <w:jc w:val="both"/>
      </w:pPr>
      <w:r>
        <w:rPr>
          <w:sz w:val="20"/>
        </w:rPr>
        <w:t xml:space="preserve">2.2.2. Копия финансового плана некоммерческой организации, утвержденного Наблюдательным советом некоммерческой организации, с целью определения размера Субсидии на год.</w:t>
      </w:r>
    </w:p>
    <w:p>
      <w:pPr>
        <w:pStyle w:val="0"/>
        <w:spacing w:before="200" w:line-rule="auto"/>
        <w:ind w:firstLine="540"/>
        <w:jc w:val="both"/>
      </w:pPr>
      <w:r>
        <w:rPr>
          <w:sz w:val="20"/>
        </w:rPr>
        <w:t xml:space="preserve">2.2.3. Справка, подтверждающая отсутствие у Соискателя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автономного округа в соответствии с нормативными правовыми актами автономного округа (договорами (соглашениями) о предоставлении субсидий, бюджетных инвестиций) в произвольной форме;</w:t>
      </w:r>
    </w:p>
    <w:p>
      <w:pPr>
        <w:pStyle w:val="0"/>
        <w:spacing w:before="200" w:line-rule="auto"/>
        <w:ind w:firstLine="540"/>
        <w:jc w:val="both"/>
      </w:pPr>
      <w:r>
        <w:rPr>
          <w:sz w:val="20"/>
        </w:rPr>
        <w:t xml:space="preserve">2.2.4. Согласие некоммерческой организации, а также лиц, получающих средства на основании договоров, заключенных с некоммерческой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и органами финансового контроля автономного округа соблюдения целей, условий и порядка предоставления Субсидии.</w:t>
      </w:r>
    </w:p>
    <w:p>
      <w:pPr>
        <w:pStyle w:val="0"/>
        <w:jc w:val="both"/>
      </w:pPr>
      <w:r>
        <w:rPr>
          <w:sz w:val="20"/>
        </w:rPr>
        <w:t xml:space="preserve">(пп. 2.2.4 в ред. </w:t>
      </w:r>
      <w:hyperlink w:history="0" r:id="rId170"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2.3. Департамент:</w:t>
      </w:r>
    </w:p>
    <w:p>
      <w:pPr>
        <w:pStyle w:val="0"/>
        <w:spacing w:before="200" w:line-rule="auto"/>
        <w:ind w:firstLine="540"/>
        <w:jc w:val="both"/>
      </w:pPr>
      <w:r>
        <w:rPr>
          <w:sz w:val="20"/>
        </w:rPr>
        <w:t xml:space="preserve">2.3.1. В течение 5 рабочих дней со дня представления документов для заключения Соглашения в порядке межведомственного информационного взаимодействия согласно законодательству Российской Федерации запрашивает Управление федеральной налоговой службы по автономному округу сведения о наличии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выписку из Единого государственного реестра юридических лиц, сведения из реестра дисквалифицированных лиц.</w:t>
      </w:r>
    </w:p>
    <w:p>
      <w:pPr>
        <w:pStyle w:val="0"/>
        <w:spacing w:before="200" w:line-rule="auto"/>
        <w:ind w:firstLine="540"/>
        <w:jc w:val="both"/>
      </w:pPr>
      <w:r>
        <w:rPr>
          <w:sz w:val="20"/>
        </w:rPr>
        <w:t xml:space="preserve">Некоммерческая организация вправе самостоятельно предоставить документы, указанные в настоящем пункте.</w:t>
      </w:r>
    </w:p>
    <w:bookmarkStart w:id="635" w:name="P635"/>
    <w:bookmarkEnd w:id="635"/>
    <w:p>
      <w:pPr>
        <w:pStyle w:val="0"/>
        <w:spacing w:before="200" w:line-rule="auto"/>
        <w:ind w:firstLine="540"/>
        <w:jc w:val="both"/>
      </w:pPr>
      <w:r>
        <w:rPr>
          <w:sz w:val="20"/>
        </w:rPr>
        <w:t xml:space="preserve">2.3.2. Рассматривает документы, указанные в </w:t>
      </w:r>
      <w:hyperlink w:history="0" w:anchor="P626" w:tooltip="2.2. Перечень документов, представляемых некоммерческой организацией в Департамент для заключения Соглашения:">
        <w:r>
          <w:rPr>
            <w:sz w:val="20"/>
            <w:color w:val="0000ff"/>
          </w:rPr>
          <w:t xml:space="preserve">пункте 2.2</w:t>
        </w:r>
      </w:hyperlink>
      <w:r>
        <w:rPr>
          <w:sz w:val="20"/>
        </w:rPr>
        <w:t xml:space="preserve"> Порядка, и в срок, не превышающий 7 рабочих дней с даты предоставления документов, указанных в </w:t>
      </w:r>
      <w:hyperlink w:history="0" w:anchor="P626" w:tooltip="2.2. Перечень документов, представляемых некоммерческой организацией в Департамент для заключения Соглашения:">
        <w:r>
          <w:rPr>
            <w:sz w:val="20"/>
            <w:color w:val="0000ff"/>
          </w:rPr>
          <w:t xml:space="preserve">пункте 2.2</w:t>
        </w:r>
      </w:hyperlink>
      <w:r>
        <w:rPr>
          <w:sz w:val="20"/>
        </w:rPr>
        <w:t xml:space="preserve"> Порядка, принимает решение о предоставлении субсидии и заключении Соглашения или об отказе в предоставлении субсидии и заключении Соглашения по основаниям, предусмотренным </w:t>
      </w:r>
      <w:hyperlink w:history="0" w:anchor="P636" w:tooltip="2.4. Основания для отказа в предоставлении субсидии и заключении Соглашения:">
        <w:r>
          <w:rPr>
            <w:sz w:val="20"/>
            <w:color w:val="0000ff"/>
          </w:rPr>
          <w:t xml:space="preserve">пунктом 2.4</w:t>
        </w:r>
      </w:hyperlink>
      <w:r>
        <w:rPr>
          <w:sz w:val="20"/>
        </w:rPr>
        <w:t xml:space="preserve"> Порядка.</w:t>
      </w:r>
    </w:p>
    <w:bookmarkStart w:id="636" w:name="P636"/>
    <w:bookmarkEnd w:id="636"/>
    <w:p>
      <w:pPr>
        <w:pStyle w:val="0"/>
        <w:spacing w:before="200" w:line-rule="auto"/>
        <w:ind w:firstLine="540"/>
        <w:jc w:val="both"/>
      </w:pPr>
      <w:r>
        <w:rPr>
          <w:sz w:val="20"/>
        </w:rPr>
        <w:t xml:space="preserve">2.4. Основания для отказа в предоставлении субсидии и заключении Соглашения:</w:t>
      </w:r>
    </w:p>
    <w:p>
      <w:pPr>
        <w:pStyle w:val="0"/>
        <w:spacing w:before="200" w:line-rule="auto"/>
        <w:ind w:firstLine="540"/>
        <w:jc w:val="both"/>
      </w:pPr>
      <w:r>
        <w:rPr>
          <w:sz w:val="20"/>
        </w:rPr>
        <w:t xml:space="preserve">2.4.1. Непредставление (представление не в полном объеме) документов, указанных в </w:t>
      </w:r>
      <w:hyperlink w:history="0" w:anchor="P626" w:tooltip="2.2. Перечень документов, представляемых некоммерческой организацией в Департамент для заключения Соглашения:">
        <w:r>
          <w:rPr>
            <w:sz w:val="20"/>
            <w:color w:val="0000ff"/>
          </w:rPr>
          <w:t xml:space="preserve">пункте 2.2</w:t>
        </w:r>
      </w:hyperlink>
      <w:r>
        <w:rPr>
          <w:sz w:val="20"/>
        </w:rPr>
        <w:t xml:space="preserve"> Порядка, несоответствие представленных некоммерческой организацией документов требованиям Порядка.</w:t>
      </w:r>
    </w:p>
    <w:p>
      <w:pPr>
        <w:pStyle w:val="0"/>
        <w:spacing w:before="200" w:line-rule="auto"/>
        <w:ind w:firstLine="540"/>
        <w:jc w:val="both"/>
      </w:pPr>
      <w:r>
        <w:rPr>
          <w:sz w:val="20"/>
        </w:rPr>
        <w:t xml:space="preserve">2.4.2. Недостоверность информации, содержащейся в документах, представленных некоммерческой организацией.</w:t>
      </w:r>
    </w:p>
    <w:p>
      <w:pPr>
        <w:pStyle w:val="0"/>
        <w:spacing w:before="200" w:line-rule="auto"/>
        <w:ind w:firstLine="540"/>
        <w:jc w:val="both"/>
      </w:pPr>
      <w:r>
        <w:rPr>
          <w:sz w:val="20"/>
        </w:rPr>
        <w:t xml:space="preserve">2.4.3. Несоответствие некоммерческой организации требованиям, установленным </w:t>
      </w:r>
      <w:hyperlink w:history="0" w:anchor="P640" w:tooltip="2.5. Требования, которым должна соответствовать некоммерческая организация на 1-е число месяца, предшествующего месяцу, в котором планируется предоставление субсидии и заключение Соглашения:">
        <w:r>
          <w:rPr>
            <w:sz w:val="20"/>
            <w:color w:val="0000ff"/>
          </w:rPr>
          <w:t xml:space="preserve">пунктом 2.5</w:t>
        </w:r>
      </w:hyperlink>
      <w:r>
        <w:rPr>
          <w:sz w:val="20"/>
        </w:rPr>
        <w:t xml:space="preserve"> Порядка.</w:t>
      </w:r>
    </w:p>
    <w:bookmarkStart w:id="640" w:name="P640"/>
    <w:bookmarkEnd w:id="640"/>
    <w:p>
      <w:pPr>
        <w:pStyle w:val="0"/>
        <w:spacing w:before="200" w:line-rule="auto"/>
        <w:ind w:firstLine="540"/>
        <w:jc w:val="both"/>
      </w:pPr>
      <w:r>
        <w:rPr>
          <w:sz w:val="20"/>
        </w:rPr>
        <w:t xml:space="preserve">2.5. Требования, которым должна соответствовать некоммерческая организация на 1-е число месяца, предшествующего месяцу, в котором планируется предоставление субсидии и заключение Соглашения:</w:t>
      </w:r>
    </w:p>
    <w:p>
      <w:pPr>
        <w:pStyle w:val="0"/>
        <w:spacing w:before="200" w:line-rule="auto"/>
        <w:ind w:firstLine="540"/>
        <w:jc w:val="both"/>
      </w:pPr>
      <w:r>
        <w:rPr>
          <w:sz w:val="20"/>
        </w:rPr>
        <w:t xml:space="preserve">2.5.1.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2.5.2. 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автономным округом.</w:t>
      </w:r>
    </w:p>
    <w:p>
      <w:pPr>
        <w:pStyle w:val="0"/>
        <w:spacing w:before="200" w:line-rule="auto"/>
        <w:ind w:firstLine="540"/>
        <w:jc w:val="both"/>
      </w:pPr>
      <w:r>
        <w:rPr>
          <w:sz w:val="20"/>
        </w:rPr>
        <w:t xml:space="preserve">2.5.3. Не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него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2.5.4. 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2.5.5. Не получать средства из бюджета автономного округа на основании иных нормативных правовых актов на цели, указанные в </w:t>
      </w:r>
      <w:hyperlink w:history="0" w:anchor="P613" w:tooltip="1.4. Субсидия предоставляется в целях:">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2.5.6.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pPr>
        <w:pStyle w:val="0"/>
        <w:spacing w:before="200" w:line-rule="auto"/>
        <w:ind w:firstLine="540"/>
        <w:jc w:val="both"/>
      </w:pPr>
      <w:r>
        <w:rPr>
          <w:sz w:val="20"/>
        </w:rPr>
        <w:t xml:space="preserve">2.5.7.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2.5.7 введен </w:t>
      </w:r>
      <w:hyperlink w:history="0" r:id="rId171"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2.6. Перечисление Субсидии осуществляется в пределах бюджетных ассигнований, предусмотренных законом о бюджете автономного округа, на лицевой счет, открытый некоммерческой организации в Департаменте финансов автономного округа, для учета операций со средствами получателей средств из бюджета не позднее 10-го рабочего дня, следующего за днем представления некоммерческой организацией в Департамент документов для оплаты денежного обязательства, на финансовое обеспечение которого предоставляется субсидия.</w:t>
      </w:r>
    </w:p>
    <w:p>
      <w:pPr>
        <w:pStyle w:val="0"/>
        <w:spacing w:before="200" w:line-rule="auto"/>
        <w:ind w:firstLine="540"/>
        <w:jc w:val="both"/>
      </w:pPr>
      <w:r>
        <w:rPr>
          <w:sz w:val="20"/>
        </w:rPr>
        <w:t xml:space="preserve">2.6.1. Некоммерческой организации запрещено приобретать средства иностранной валюты за счет субсидий, полученных из соответствующего бюджета бюджетной системы Российской Федерации,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
    <w:p>
      <w:pPr>
        <w:pStyle w:val="0"/>
        <w:jc w:val="both"/>
      </w:pPr>
      <w:r>
        <w:rPr>
          <w:sz w:val="20"/>
        </w:rPr>
        <w:t xml:space="preserve">(п. 2.6.1 введен </w:t>
      </w:r>
      <w:hyperlink w:history="0" r:id="rId172"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17.03.2022 N 93-п)</w:t>
      </w:r>
    </w:p>
    <w:p>
      <w:pPr>
        <w:pStyle w:val="0"/>
        <w:spacing w:before="200" w:line-rule="auto"/>
        <w:ind w:firstLine="540"/>
        <w:jc w:val="both"/>
      </w:pPr>
      <w:r>
        <w:rPr>
          <w:sz w:val="20"/>
        </w:rPr>
        <w:t xml:space="preserve">2.7. В Соглашении должны быть предусмотрены:</w:t>
      </w:r>
    </w:p>
    <w:p>
      <w:pPr>
        <w:pStyle w:val="0"/>
        <w:spacing w:before="200" w:line-rule="auto"/>
        <w:ind w:firstLine="540"/>
        <w:jc w:val="both"/>
      </w:pPr>
      <w:r>
        <w:rPr>
          <w:sz w:val="20"/>
        </w:rPr>
        <w:t xml:space="preserve">результаты и показатели предоставления субсидии;</w:t>
      </w:r>
    </w:p>
    <w:p>
      <w:pPr>
        <w:pStyle w:val="0"/>
        <w:spacing w:before="200" w:line-rule="auto"/>
        <w:ind w:firstLine="540"/>
        <w:jc w:val="both"/>
      </w:pPr>
      <w:r>
        <w:rPr>
          <w:sz w:val="20"/>
        </w:rPr>
        <w:t xml:space="preserve">размер субсидии;</w:t>
      </w:r>
    </w:p>
    <w:p>
      <w:pPr>
        <w:pStyle w:val="0"/>
        <w:spacing w:before="200" w:line-rule="auto"/>
        <w:ind w:firstLine="540"/>
        <w:jc w:val="both"/>
      </w:pPr>
      <w:r>
        <w:rPr>
          <w:sz w:val="20"/>
        </w:rPr>
        <w:t xml:space="preserve">порядок, сроки представления отчетности, подтверждающей выполнение условий предоставления субсидии;</w:t>
      </w:r>
    </w:p>
    <w:p>
      <w:pPr>
        <w:pStyle w:val="0"/>
        <w:spacing w:before="200" w:line-rule="auto"/>
        <w:ind w:firstLine="540"/>
        <w:jc w:val="both"/>
      </w:pPr>
      <w:r>
        <w:rPr>
          <w:sz w:val="20"/>
        </w:rPr>
        <w:t xml:space="preserve">порядок и сроки возврата неиспользованных остатков субсидии;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за счет средств, предоставленных в целях финансового обеспечения затрат некоммерческой организации,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Губернатором автономного округа, Правительством автономного округа;</w:t>
      </w:r>
    </w:p>
    <w:p>
      <w:pPr>
        <w:pStyle w:val="0"/>
        <w:spacing w:before="200" w:line-rule="auto"/>
        <w:ind w:firstLine="540"/>
        <w:jc w:val="both"/>
      </w:pPr>
      <w:r>
        <w:rPr>
          <w:sz w:val="20"/>
        </w:rPr>
        <w:t xml:space="preserve">согласие некоммерческой организации, а также лиц, получающих средства на основании договоров, заключенных с некоммерческой организации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и органами финансового контроля автономного округа соблюдения целей, условий и порядка предоставления Субсидии;</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jc w:val="both"/>
      </w:pPr>
      <w:r>
        <w:rPr>
          <w:sz w:val="20"/>
        </w:rPr>
        <w:t xml:space="preserve">(абзац введен </w:t>
      </w:r>
      <w:hyperlink w:history="0" r:id="rId173"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17.03.2022 N 93-п)</w:t>
      </w:r>
    </w:p>
    <w:p>
      <w:pPr>
        <w:pStyle w:val="0"/>
        <w:spacing w:before="200" w:line-rule="auto"/>
        <w:ind w:firstLine="540"/>
        <w:jc w:val="both"/>
      </w:pPr>
      <w:r>
        <w:rPr>
          <w:sz w:val="20"/>
        </w:rPr>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Департаментом по согласованию с Департаментом финансов автономного округа в порядке, установленном Правительством автономного округа,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Порядком.</w:t>
      </w:r>
    </w:p>
    <w:p>
      <w:pPr>
        <w:pStyle w:val="0"/>
        <w:spacing w:before="200" w:line-rule="auto"/>
        <w:ind w:firstLine="540"/>
        <w:jc w:val="both"/>
      </w:pPr>
      <w:r>
        <w:rPr>
          <w:sz w:val="20"/>
        </w:rPr>
        <w:t xml:space="preserve">2.8. Осуществление расходов, источником финансового обеспечения которых являются не использованные в отчетном финансовом году остатки Субсидии, возможно при принятии решения о наличии потребности в указанных средствах на те же цели в порядке, установленном Правительством Ханты-Мансийского автономного округа - Югры.</w:t>
      </w:r>
    </w:p>
    <w:p>
      <w:pPr>
        <w:pStyle w:val="0"/>
        <w:spacing w:before="200" w:line-rule="auto"/>
        <w:ind w:firstLine="540"/>
        <w:jc w:val="both"/>
      </w:pPr>
      <w:r>
        <w:rPr>
          <w:sz w:val="20"/>
        </w:rPr>
        <w:t xml:space="preserve">2.9. Результатом предоставления Субсидии является достижение на дату окончания действия Соглашения:</w:t>
      </w:r>
    </w:p>
    <w:p>
      <w:pPr>
        <w:pStyle w:val="0"/>
        <w:spacing w:before="200" w:line-rule="auto"/>
        <w:ind w:firstLine="540"/>
        <w:jc w:val="both"/>
      </w:pPr>
      <w:r>
        <w:rPr>
          <w:sz w:val="20"/>
        </w:rPr>
        <w:t xml:space="preserve">количество организованных и проведенных культурно-массовых мероприятий (кинопоказов, концертов, протокольных мероприятий, лекций);</w:t>
      </w:r>
    </w:p>
    <w:p>
      <w:pPr>
        <w:pStyle w:val="0"/>
        <w:spacing w:before="200" w:line-rule="auto"/>
        <w:ind w:firstLine="540"/>
        <w:jc w:val="both"/>
      </w:pPr>
      <w:r>
        <w:rPr>
          <w:sz w:val="20"/>
        </w:rPr>
        <w:t xml:space="preserve">осуществление экспозиционно-выставочной деятельности (количество проведенных экскурсий по экспозициям);</w:t>
      </w:r>
    </w:p>
    <w:p>
      <w:pPr>
        <w:pStyle w:val="0"/>
        <w:spacing w:before="200" w:line-rule="auto"/>
        <w:ind w:firstLine="540"/>
        <w:jc w:val="both"/>
      </w:pPr>
      <w:r>
        <w:rPr>
          <w:sz w:val="20"/>
        </w:rPr>
        <w:t xml:space="preserve">осуществление рекламно-маркетинговой деятельности (запуск страниц в не менее 5 социальных сетях, публикаций постов в них, размещение рекламы в средствах массовой информации);</w:t>
      </w:r>
    </w:p>
    <w:p>
      <w:pPr>
        <w:pStyle w:val="0"/>
        <w:spacing w:before="200" w:line-rule="auto"/>
        <w:ind w:firstLine="540"/>
        <w:jc w:val="both"/>
      </w:pPr>
      <w:r>
        <w:rPr>
          <w:sz w:val="20"/>
        </w:rPr>
        <w:t xml:space="preserve">выполнение научно-исследовательской работы (разработка регионального контента);</w:t>
      </w:r>
    </w:p>
    <w:p>
      <w:pPr>
        <w:pStyle w:val="0"/>
        <w:spacing w:before="200" w:line-rule="auto"/>
        <w:ind w:firstLine="540"/>
        <w:jc w:val="both"/>
      </w:pPr>
      <w:r>
        <w:rPr>
          <w:sz w:val="20"/>
        </w:rPr>
        <w:t xml:space="preserve">осуществление издательской, полиграфической деятельности (количество изданий (буклеты, листовки);</w:t>
      </w:r>
    </w:p>
    <w:p>
      <w:pPr>
        <w:pStyle w:val="0"/>
        <w:spacing w:before="200" w:line-rule="auto"/>
        <w:ind w:firstLine="540"/>
        <w:jc w:val="both"/>
      </w:pPr>
      <w:r>
        <w:rPr>
          <w:sz w:val="20"/>
        </w:rPr>
        <w:t xml:space="preserve">Значения показателей, необходимых для достижения результатов предоставления субсидии, устанавливаются в Соглашении.</w:t>
      </w:r>
    </w:p>
    <w:p>
      <w:pPr>
        <w:pStyle w:val="0"/>
        <w:spacing w:before="200" w:line-rule="auto"/>
        <w:ind w:firstLine="540"/>
        <w:jc w:val="both"/>
      </w:pPr>
      <w:r>
        <w:rPr>
          <w:sz w:val="20"/>
        </w:rPr>
        <w:t xml:space="preserve">2.10. Порядок и сроки возврата Субсидии в бюджет автономного округа в случае нарушения условий ее предоставления определены </w:t>
      </w:r>
      <w:hyperlink w:history="0" w:anchor="P679" w:tooltip="4. Требования об осуществлении контроля (мониторинга)">
        <w:r>
          <w:rPr>
            <w:sz w:val="20"/>
            <w:color w:val="0000ff"/>
          </w:rPr>
          <w:t xml:space="preserve">разделом 4</w:t>
        </w:r>
      </w:hyperlink>
      <w:r>
        <w:rPr>
          <w:sz w:val="20"/>
        </w:rPr>
        <w:t xml:space="preserve"> Порядка.</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p>
      <w:pPr>
        <w:pStyle w:val="0"/>
        <w:ind w:firstLine="540"/>
        <w:jc w:val="both"/>
      </w:pPr>
      <w:r>
        <w:rPr>
          <w:sz w:val="20"/>
        </w:rPr>
        <w:t xml:space="preserve">3.1. Ежеквартально не позднее 10-го числа месяца, следующего за отчетным кварталом, некоммерческая организация представляет в Департамент отчеты о достижении значений результатов и расходах, источником финансового обеспечения которых является Субсидия, по формам, установленным в Соглашении.</w:t>
      </w:r>
    </w:p>
    <w:p>
      <w:pPr>
        <w:pStyle w:val="0"/>
        <w:jc w:val="both"/>
      </w:pPr>
      <w:r>
        <w:rPr>
          <w:sz w:val="20"/>
        </w:rPr>
        <w:t xml:space="preserve">(в ред. </w:t>
      </w:r>
      <w:hyperlink w:history="0" r:id="rId174"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03.06.2022 N 245-п)</w:t>
      </w:r>
    </w:p>
    <w:p>
      <w:pPr>
        <w:pStyle w:val="0"/>
        <w:spacing w:before="200" w:line-rule="auto"/>
        <w:ind w:firstLine="540"/>
        <w:jc w:val="both"/>
      </w:pPr>
      <w:r>
        <w:rPr>
          <w:sz w:val="20"/>
        </w:rPr>
        <w:t xml:space="preserve">В срок до 1 декабря года, в котором осуществлялось финансирование по Соглашению, некоммерческая организация представляет в Департамент отчет об осуществлении расходов, источником финансового обеспечения которых является субсидия, по формам, установленным в Соглашении.</w:t>
      </w:r>
    </w:p>
    <w:p>
      <w:pPr>
        <w:pStyle w:val="0"/>
        <w:ind w:firstLine="540"/>
        <w:jc w:val="both"/>
      </w:pPr>
      <w:r>
        <w:rPr>
          <w:sz w:val="20"/>
        </w:rPr>
      </w:r>
    </w:p>
    <w:bookmarkStart w:id="679" w:name="P679"/>
    <w:bookmarkEnd w:id="679"/>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соблюдения условий и порядка предоставления Субсидий</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175"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01.09.2022 N 422-п)</w:t>
      </w:r>
    </w:p>
    <w:p>
      <w:pPr>
        <w:pStyle w:val="0"/>
        <w:ind w:firstLine="540"/>
        <w:jc w:val="both"/>
      </w:pPr>
      <w:r>
        <w:rPr>
          <w:sz w:val="20"/>
        </w:rPr>
      </w:r>
    </w:p>
    <w:p>
      <w:pPr>
        <w:pStyle w:val="0"/>
        <w:ind w:firstLine="540"/>
        <w:jc w:val="both"/>
      </w:pPr>
      <w:r>
        <w:rPr>
          <w:sz w:val="20"/>
        </w:rPr>
        <w:t xml:space="preserve">4.1. Департамент и орган государственного финансового контроля проводят проверку соблюдения условий и правил предоставления субсидии.</w:t>
      </w:r>
    </w:p>
    <w:p>
      <w:pPr>
        <w:pStyle w:val="0"/>
        <w:jc w:val="both"/>
      </w:pPr>
      <w:r>
        <w:rPr>
          <w:sz w:val="20"/>
        </w:rPr>
        <w:t xml:space="preserve">(в ред. </w:t>
      </w:r>
      <w:hyperlink w:history="0" r:id="rId176"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4.2.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bookmarkStart w:id="688" w:name="P688"/>
    <w:bookmarkEnd w:id="688"/>
    <w:p>
      <w:pPr>
        <w:pStyle w:val="0"/>
        <w:spacing w:before="200" w:line-rule="auto"/>
        <w:ind w:firstLine="540"/>
        <w:jc w:val="both"/>
      </w:pPr>
      <w:r>
        <w:rPr>
          <w:sz w:val="20"/>
        </w:rPr>
        <w:t xml:space="preserve">4.3. При выявлении Департаментом и (или) органом государственного финансового контроля фактов нарушения некоммерческой организацией условий и порядка предоставления субсидии, а также недостижения значения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в срок не более 6 месяцев с даты выявления нарушений и направляет решение в некоммерческую организацию.</w:t>
      </w:r>
    </w:p>
    <w:p>
      <w:pPr>
        <w:pStyle w:val="0"/>
        <w:jc w:val="both"/>
      </w:pPr>
      <w:r>
        <w:rPr>
          <w:sz w:val="20"/>
        </w:rPr>
        <w:t xml:space="preserve">(в ред. </w:t>
      </w:r>
      <w:hyperlink w:history="0" r:id="rId177"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4.4. В случае неустранения некоммерческой организацией нарушений в срок, установленный в </w:t>
      </w:r>
      <w:hyperlink w:history="0" w:anchor="P688" w:tooltip="4.3. При выявлении Департаментом и (или) органом государственного финансового контроля фактов нарушения некоммерческой организацией условий и порядка предоставления субсидии, а также недостижения значения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в срок не более 6 месяцев с даты выявления нарушений и направляет решение...">
        <w:r>
          <w:rPr>
            <w:sz w:val="20"/>
            <w:color w:val="0000ff"/>
          </w:rPr>
          <w:t xml:space="preserve">пункте 4.3</w:t>
        </w:r>
      </w:hyperlink>
      <w:r>
        <w:rPr>
          <w:sz w:val="20"/>
        </w:rPr>
        <w:t xml:space="preserve"> Порядка, Департамент в течение 5 рабочих дней с даты окончания срока, указанного в </w:t>
      </w:r>
      <w:hyperlink w:history="0" w:anchor="P688" w:tooltip="4.3. При выявлении Департаментом и (или) органом государственного финансового контроля фактов нарушения некоммерческой организацией условий и порядка предоставления субсидии, а также недостижения значения результата и показателей ее использования, установленных Соглашением, Департамент в течение 5 рабочих дней с даты выявления нарушений принимает решение о приостановлении перечисления субсидии до даты устранения указанных нарушений в срок не более 6 месяцев с даты выявления нарушений и направляет решение...">
        <w:r>
          <w:rPr>
            <w:sz w:val="20"/>
            <w:color w:val="0000ff"/>
          </w:rPr>
          <w:t xml:space="preserve">пункте 4.3</w:t>
        </w:r>
      </w:hyperlink>
      <w:r>
        <w:rPr>
          <w:sz w:val="20"/>
        </w:rPr>
        <w:t xml:space="preserve"> Порядка, принимает решение о возврате субсидии в бюджет автономного округа и направляет в некоммерческую организацию требование об обеспечении ее возврата.</w:t>
      </w:r>
    </w:p>
    <w:p>
      <w:pPr>
        <w:pStyle w:val="0"/>
        <w:spacing w:before="200" w:line-rule="auto"/>
        <w:ind w:firstLine="540"/>
        <w:jc w:val="both"/>
      </w:pPr>
      <w:r>
        <w:rPr>
          <w:sz w:val="20"/>
        </w:rPr>
        <w:t xml:space="preserve">Требование об обеспечении возврата субсидии в бюджет автономного округа должно быть исполнено некоммерческой организацией в течение 30 рабочих дней со дня его получения.</w:t>
      </w:r>
    </w:p>
    <w:p>
      <w:pPr>
        <w:pStyle w:val="0"/>
        <w:spacing w:before="200" w:line-rule="auto"/>
        <w:ind w:firstLine="540"/>
        <w:jc w:val="both"/>
      </w:pPr>
      <w:r>
        <w:rPr>
          <w:sz w:val="20"/>
        </w:rPr>
        <w:t xml:space="preserve">4.5. В случае невыполнения некоммерческой организацией требований об обеспечении возврата субсидии в бюджет автономного округа ее взыскание осуществляется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704" w:name="P704"/>
    <w:bookmarkEnd w:id="704"/>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ПРИОБРЕТЕНИЕ МУЗЫКАЛЬНЫХ</w:t>
      </w:r>
    </w:p>
    <w:p>
      <w:pPr>
        <w:pStyle w:val="2"/>
        <w:jc w:val="center"/>
      </w:pPr>
      <w:r>
        <w:rPr>
          <w:sz w:val="20"/>
        </w:rPr>
        <w:t xml:space="preserve">ИНСТРУМЕНТОВ, ОБОРУДОВАНИЯ И МАТЕРИАЛОВ ДЛЯ ДЕТСКИХ ШКОЛ</w:t>
      </w:r>
    </w:p>
    <w:p>
      <w:pPr>
        <w:pStyle w:val="2"/>
        <w:jc w:val="center"/>
      </w:pPr>
      <w:r>
        <w:rPr>
          <w:sz w:val="20"/>
        </w:rPr>
        <w:t xml:space="preserve">ИСКУССТВ ПО ВИДАМ ИСКУССТВ, В ТОМ ЧИСЛЕ ЗА СЧЕТ СРЕДСТВ</w:t>
      </w:r>
    </w:p>
    <w:p>
      <w:pPr>
        <w:pStyle w:val="2"/>
        <w:jc w:val="center"/>
      </w:pPr>
      <w:r>
        <w:rPr>
          <w:sz w:val="20"/>
        </w:rPr>
        <w:t xml:space="preserve">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178"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13.01.2023 </w:t>
            </w:r>
            <w:hyperlink w:history="0" r:id="rId17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на приобретение музыкальных инструментов, оборудования и материалов для детских школ искусств по видам искусств (далее - Субсидия, муниципальные образования), в том числе за счет средств федерального бюджета.</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связанных с реализацией мероприятий муниципальных программ, предусматривающих обеспечение детских школ искусств необходимыми музыкальными инструментами, оборудованием и материалами по следующим направлениям:</w:t>
      </w:r>
    </w:p>
    <w:p>
      <w:pPr>
        <w:pStyle w:val="0"/>
        <w:jc w:val="both"/>
      </w:pPr>
      <w:r>
        <w:rPr>
          <w:sz w:val="20"/>
        </w:rPr>
        <w:t xml:space="preserve">(в ред. </w:t>
      </w:r>
      <w:hyperlink w:history="0" r:id="rId180"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приобретение музыкальных инструментов преимущественно отечественного производства или сборки из комплектующих иностранного производства, выполненной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приобретение оборудования преимущественно отечественного производства или сборки из комплектующих иностранного производства, выполненной на территории Российской Федерации, включая их доставку и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w:t>
      </w:r>
    </w:p>
    <w:p>
      <w:pPr>
        <w:pStyle w:val="0"/>
        <w:spacing w:before="200" w:line-rule="auto"/>
        <w:ind w:firstLine="540"/>
        <w:jc w:val="both"/>
      </w:pPr>
      <w:r>
        <w:rPr>
          <w:sz w:val="20"/>
        </w:rPr>
        <w:t xml:space="preserve">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клавиры, партитуры и хрестоматии).</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w:history="0" r:id="rId181"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проекта</w:t>
        </w:r>
      </w:hyperlink>
      <w:r>
        <w:rPr>
          <w:sz w:val="20"/>
        </w:rPr>
        <w:t xml:space="preserve"> "Культурная среда" (далее - региональный проект)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4. Критериями предоставления субсидии являются:</w:t>
      </w:r>
    </w:p>
    <w:p>
      <w:pPr>
        <w:pStyle w:val="0"/>
        <w:spacing w:before="200" w:line-rule="auto"/>
        <w:ind w:firstLine="540"/>
        <w:jc w:val="both"/>
      </w:pPr>
      <w:r>
        <w:rPr>
          <w:sz w:val="20"/>
        </w:rPr>
        <w:t xml:space="preserve">наличие потребности в обеспечении реализации учебных предметов, соответствующих федеральным государственным образовательным стандартам в области искусств и культуры и федеральным государственным требованиям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а также в обеспечении музыкальными инструментами, оборудованием и материалами.</w:t>
      </w:r>
    </w:p>
    <w:p>
      <w:pPr>
        <w:pStyle w:val="0"/>
        <w:jc w:val="both"/>
      </w:pPr>
      <w:r>
        <w:rPr>
          <w:sz w:val="20"/>
        </w:rPr>
        <w:t xml:space="preserve">(в ред. </w:t>
      </w:r>
      <w:hyperlink w:history="0" r:id="rId182"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5. Условиями предоставления Субсидии местному бюджету являются: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регионального проекта;</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В случае если объем финансовых средств необходимый для предоставления субсидии согласно поступившим заявкам от муниципальных образований превышает лимиты бюджетных обязательств, предусмотренных на реализацию мероприятия по приобретению музыкальных инструментов, оборудования и материалов для детских школ искусств по видам искусств к рассмотрению принимается заявка, зарегистрированная ранее в системе автоматизации делопроизводства и электронного документооборота "Дело".</w:t>
      </w:r>
    </w:p>
    <w:p>
      <w:pPr>
        <w:pStyle w:val="0"/>
        <w:spacing w:before="200" w:line-rule="auto"/>
        <w:ind w:firstLine="540"/>
        <w:jc w:val="both"/>
      </w:pPr>
      <w:r>
        <w:rPr>
          <w:sz w:val="20"/>
        </w:rPr>
        <w:t xml:space="preserve">7. 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w:history="0" r:id="rId18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22.1</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8. Объем Субсидии (Vi), предоставляемой i-му муниципальному образованию автономного округа на соответствующий финансовый год, определяется по формуле:</w:t>
      </w:r>
    </w:p>
    <w:p>
      <w:pPr>
        <w:pStyle w:val="0"/>
        <w:ind w:firstLine="540"/>
        <w:jc w:val="both"/>
      </w:pPr>
      <w:r>
        <w:rPr>
          <w:sz w:val="20"/>
        </w:rPr>
      </w:r>
    </w:p>
    <w:p>
      <w:pPr>
        <w:pStyle w:val="0"/>
        <w:ind w:firstLine="540"/>
        <w:jc w:val="both"/>
      </w:pPr>
      <w:r>
        <w:rPr>
          <w:sz w:val="20"/>
        </w:rPr>
        <w:t xml:space="preserve">Vi = (Vобщ * Pi) / P, где:</w:t>
      </w:r>
    </w:p>
    <w:p>
      <w:pPr>
        <w:pStyle w:val="0"/>
        <w:ind w:firstLine="540"/>
        <w:jc w:val="both"/>
      </w:pPr>
      <w:r>
        <w:rPr>
          <w:sz w:val="20"/>
        </w:rPr>
      </w:r>
    </w:p>
    <w:p>
      <w:pPr>
        <w:pStyle w:val="0"/>
        <w:ind w:firstLine="540"/>
        <w:jc w:val="both"/>
      </w:pPr>
      <w:r>
        <w:rPr>
          <w:sz w:val="20"/>
        </w:rPr>
        <w:t xml:space="preserve">Vi - объем Субсидии из бюджета автономного округа бюджету i-го муниципального образования, в том числе за счет средств федерального бюджета;</w:t>
      </w:r>
    </w:p>
    <w:p>
      <w:pPr>
        <w:pStyle w:val="0"/>
        <w:spacing w:before="200" w:line-rule="auto"/>
        <w:ind w:firstLine="540"/>
        <w:jc w:val="both"/>
      </w:pPr>
      <w:r>
        <w:rPr>
          <w:sz w:val="20"/>
        </w:rPr>
        <w:t xml:space="preserve">Vобщ - общий объем Субсидии на реализацию мероприятий по приобретению музыкальных инструментов, оборудования и материалов для детских школ искусств на соответствующий финансовый год;</w:t>
      </w:r>
    </w:p>
    <w:p>
      <w:pPr>
        <w:pStyle w:val="0"/>
        <w:spacing w:before="200" w:line-rule="auto"/>
        <w:ind w:firstLine="540"/>
        <w:jc w:val="both"/>
      </w:pPr>
      <w:r>
        <w:rPr>
          <w:sz w:val="20"/>
        </w:rPr>
        <w:t xml:space="preserve">Pi -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расположенных в i-м муниципальном образовании автономного округа, по состоянию на первое сентября текущего года;</w:t>
      </w:r>
    </w:p>
    <w:p>
      <w:pPr>
        <w:pStyle w:val="0"/>
        <w:spacing w:before="200" w:line-rule="auto"/>
        <w:ind w:firstLine="540"/>
        <w:jc w:val="both"/>
      </w:pPr>
      <w:r>
        <w:rPr>
          <w:sz w:val="20"/>
        </w:rPr>
        <w:t xml:space="preserve">Р - общее количество обучающихся по дополнительным предпрофессиональным программам в области искусств и программам среднего профессионального образования в области искусств и культуры в детских школах искусств и училищах муниципальных образований автономного округа, участвующих в распределении, по состоянию на первое сентября текущего года.</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744" w:tooltip="9. Уровень софинансирования расходного обязательства бюджета i-го муниципального образования автономного округа (Yi)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 на текущий финансовый год, рассчитанный в соответствии с разделом IV Методики распределения дотаций на выравнивание бюджетной обеспеченности муниципальных районов (городских округов), утвержденной закон...">
        <w:r>
          <w:rPr>
            <w:sz w:val="20"/>
            <w:color w:val="0000ff"/>
          </w:rPr>
          <w:t xml:space="preserve">пункте 9</w:t>
        </w:r>
      </w:hyperlink>
      <w:r>
        <w:rPr>
          <w:sz w:val="20"/>
        </w:rPr>
        <w:t xml:space="preserve"> Порядка.</w:t>
      </w:r>
    </w:p>
    <w:p>
      <w:pPr>
        <w:pStyle w:val="0"/>
        <w:jc w:val="both"/>
      </w:pPr>
      <w:r>
        <w:rPr>
          <w:sz w:val="20"/>
        </w:rPr>
        <w:t xml:space="preserve">(п. 8 в ред. </w:t>
      </w:r>
      <w:hyperlink w:history="0" r:id="rId184"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bookmarkStart w:id="744" w:name="P744"/>
    <w:bookmarkEnd w:id="744"/>
    <w:p>
      <w:pPr>
        <w:pStyle w:val="0"/>
        <w:spacing w:before="200" w:line-rule="auto"/>
        <w:ind w:firstLine="540"/>
        <w:jc w:val="both"/>
      </w:pPr>
      <w:r>
        <w:rPr>
          <w:sz w:val="20"/>
        </w:rPr>
        <w:t xml:space="preserve">9. Уровень софинансирования расходного обязательства бюджета i-го муниципального образования автономного округа (Yi) определяется в зависимости от группы муниципального образования автономного округа, в соответствии с уровнем расчетной бюджетной обеспеченности муниципального образования автономного округа на текущий финансовый год, рассчитанный в соответствии с </w:t>
      </w:r>
      <w:hyperlink w:history="0" r:id="rId185"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098"/>
        <w:gridCol w:w="3572"/>
      </w:tblGrid>
      <w:tr>
        <w:tc>
          <w:tcPr>
            <w:tcW w:w="3402" w:type="dxa"/>
          </w:tcPr>
          <w:p>
            <w:pPr>
              <w:pStyle w:val="0"/>
              <w:jc w:val="center"/>
            </w:pPr>
            <w:r>
              <w:rPr>
                <w:sz w:val="20"/>
              </w:rPr>
              <w:t xml:space="preserve">Уровень расчетной бюджетной обеспеченности муниципального образования</w:t>
            </w:r>
          </w:p>
        </w:tc>
        <w:tc>
          <w:tcPr>
            <w:tcW w:w="2098" w:type="dxa"/>
          </w:tcPr>
          <w:p>
            <w:pPr>
              <w:pStyle w:val="0"/>
              <w:jc w:val="center"/>
            </w:pPr>
            <w:r>
              <w:rPr>
                <w:sz w:val="20"/>
              </w:rPr>
              <w:t xml:space="preserve">Группа муниципального образования</w:t>
            </w:r>
          </w:p>
        </w:tc>
        <w:tc>
          <w:tcPr>
            <w:tcW w:w="3572"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 (Yi)</w:t>
            </w:r>
          </w:p>
        </w:tc>
      </w:tr>
      <w:tr>
        <w:tc>
          <w:tcPr>
            <w:tcW w:w="3402" w:type="dxa"/>
          </w:tcPr>
          <w:p>
            <w:pPr>
              <w:pStyle w:val="0"/>
              <w:jc w:val="center"/>
            </w:pPr>
            <w:r>
              <w:rPr>
                <w:sz w:val="20"/>
              </w:rPr>
              <w:t xml:space="preserve">от 0 до 1,200</w:t>
            </w:r>
          </w:p>
        </w:tc>
        <w:tc>
          <w:tcPr>
            <w:tcW w:w="2098" w:type="dxa"/>
          </w:tcPr>
          <w:p>
            <w:pPr>
              <w:pStyle w:val="0"/>
              <w:jc w:val="center"/>
            </w:pPr>
            <w:r>
              <w:rPr>
                <w:sz w:val="20"/>
              </w:rPr>
              <w:t xml:space="preserve">1</w:t>
            </w:r>
          </w:p>
        </w:tc>
        <w:tc>
          <w:tcPr>
            <w:tcW w:w="3572" w:type="dxa"/>
          </w:tcPr>
          <w:p>
            <w:pPr>
              <w:pStyle w:val="0"/>
              <w:jc w:val="center"/>
            </w:pPr>
            <w:r>
              <w:rPr>
                <w:sz w:val="20"/>
              </w:rPr>
              <w:t xml:space="preserve">98%</w:t>
            </w:r>
          </w:p>
        </w:tc>
      </w:tr>
      <w:tr>
        <w:tc>
          <w:tcPr>
            <w:tcW w:w="3402" w:type="dxa"/>
          </w:tcPr>
          <w:p>
            <w:pPr>
              <w:pStyle w:val="0"/>
              <w:jc w:val="center"/>
            </w:pPr>
            <w:r>
              <w:rPr>
                <w:sz w:val="20"/>
              </w:rPr>
              <w:t xml:space="preserve">Свыше 1,201</w:t>
            </w:r>
          </w:p>
        </w:tc>
        <w:tc>
          <w:tcPr>
            <w:tcW w:w="2098" w:type="dxa"/>
          </w:tcPr>
          <w:p>
            <w:pPr>
              <w:pStyle w:val="0"/>
              <w:jc w:val="center"/>
            </w:pPr>
            <w:r>
              <w:rPr>
                <w:sz w:val="20"/>
              </w:rPr>
              <w:t xml:space="preserve">2</w:t>
            </w:r>
          </w:p>
        </w:tc>
        <w:tc>
          <w:tcPr>
            <w:tcW w:w="3572" w:type="dxa"/>
          </w:tcPr>
          <w:p>
            <w:pPr>
              <w:pStyle w:val="0"/>
              <w:jc w:val="center"/>
            </w:pPr>
            <w:r>
              <w:rPr>
                <w:sz w:val="20"/>
              </w:rPr>
              <w:t xml:space="preserve">95%</w:t>
            </w:r>
          </w:p>
        </w:tc>
      </w:tr>
    </w:tbl>
    <w:p>
      <w:pPr>
        <w:pStyle w:val="0"/>
        <w:ind w:firstLine="540"/>
        <w:jc w:val="both"/>
      </w:pPr>
      <w:r>
        <w:rPr>
          <w:sz w:val="20"/>
        </w:rPr>
      </w:r>
    </w:p>
    <w:p>
      <w:pPr>
        <w:pStyle w:val="0"/>
        <w:ind w:firstLine="540"/>
        <w:jc w:val="both"/>
      </w:pPr>
      <w:r>
        <w:rPr>
          <w:sz w:val="20"/>
        </w:rPr>
        <w:t xml:space="preserve">Муниципальные образования вправе увеличивать объем финансирования мероприятия за счет привлеченных и собственных средств местных бюджетов, что не влечет обязательств по увеличению размера Субсидии из бюджета автономного округа.</w:t>
      </w:r>
    </w:p>
    <w:p>
      <w:pPr>
        <w:pStyle w:val="0"/>
        <w:spacing w:before="200" w:line-rule="auto"/>
        <w:ind w:firstLine="540"/>
        <w:jc w:val="both"/>
      </w:pPr>
      <w:r>
        <w:rPr>
          <w:sz w:val="20"/>
        </w:rPr>
        <w:t xml:space="preserve">10.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11. Соглашение должно содержать информацию, указанную в </w:t>
      </w:r>
      <w:hyperlink w:history="0" r:id="rId18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предоставления Субсидий.</w:t>
      </w:r>
    </w:p>
    <w:p>
      <w:pPr>
        <w:pStyle w:val="0"/>
        <w:spacing w:before="200" w:line-rule="auto"/>
        <w:ind w:firstLine="540"/>
        <w:jc w:val="both"/>
      </w:pPr>
      <w:r>
        <w:rPr>
          <w:sz w:val="20"/>
        </w:rPr>
        <w:t xml:space="preserve">12.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13.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14.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18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18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или результатов регионального проекта, а также в случае сокращения размера Субсидии.</w:t>
      </w:r>
    </w:p>
    <w:p>
      <w:pPr>
        <w:pStyle w:val="0"/>
        <w:spacing w:before="200" w:line-rule="auto"/>
        <w:ind w:firstLine="540"/>
        <w:jc w:val="both"/>
      </w:pPr>
      <w:r>
        <w:rPr>
          <w:sz w:val="20"/>
        </w:rPr>
        <w:t xml:space="preserve">16.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17. Результатом использования Субсидии является количество образовательных учреждений в сфере культуры, оснащенных музыкальными инструментами, оборудованием и учебными материалами, которое устанавливается Соглашением.</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19.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18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19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22.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23.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24.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w:history="0" r:id="rId19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19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19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3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25.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26.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19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19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27.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28.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794" w:name="P794"/>
    <w:bookmarkEnd w:id="794"/>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РАЗВИТИЕ СФЕРЫ КУЛЬТУРЫ</w:t>
      </w:r>
    </w:p>
    <w:p>
      <w:pPr>
        <w:pStyle w:val="2"/>
        <w:jc w:val="center"/>
      </w:pPr>
      <w:r>
        <w:rPr>
          <w:sz w:val="20"/>
        </w:rPr>
        <w:t xml:space="preserve">В ХАНТЫ-МАНСИЙСКОМ АВТОНОМНОМ ОКРУГЕ - ЮГРЕ</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196"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01.09.2022 </w:t>
            </w:r>
            <w:hyperlink w:history="0" r:id="rId197"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color w:val="392c69"/>
              </w:rPr>
              <w:t xml:space="preserve">, от 13.01.2023 </w:t>
            </w:r>
            <w:hyperlink w:history="0" r:id="rId198"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на развитие сферы культуры автономного округа.</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связанных с реализацией мероприятий по направлениям:</w:t>
      </w:r>
    </w:p>
    <w:p>
      <w:pPr>
        <w:pStyle w:val="0"/>
        <w:spacing w:before="200" w:line-rule="auto"/>
        <w:ind w:firstLine="540"/>
        <w:jc w:val="both"/>
      </w:pPr>
      <w:r>
        <w:rPr>
          <w:sz w:val="20"/>
        </w:rPr>
        <w:t xml:space="preserve">модернизация муниципальных общедоступных библиотек автономного округа;</w:t>
      </w:r>
    </w:p>
    <w:p>
      <w:pPr>
        <w:pStyle w:val="0"/>
        <w:spacing w:before="200" w:line-rule="auto"/>
        <w:ind w:firstLine="540"/>
        <w:jc w:val="both"/>
      </w:pPr>
      <w:r>
        <w:rPr>
          <w:sz w:val="20"/>
        </w:rPr>
        <w:t xml:space="preserve">осуществление ремонтно-реставрационных работ памятников архитектуры и градостроительства.</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основных </w:t>
      </w:r>
      <w:hyperlink w:history="0" r:id="rId19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мероприятий 1.3</w:t>
        </w:r>
      </w:hyperlink>
      <w:r>
        <w:rPr>
          <w:sz w:val="20"/>
        </w:rPr>
        <w:t xml:space="preserve"> "Развитие библиотечного дела" подпрограммы 1 "Модернизация и развитие учреждений и организаций культуры", </w:t>
      </w:r>
      <w:hyperlink w:history="0" r:id="rId20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3.2</w:t>
        </w:r>
      </w:hyperlink>
      <w:r>
        <w:rPr>
          <w:sz w:val="20"/>
        </w:rPr>
        <w:t xml:space="preserve">. "Сохранение, популяризация и государственная охрана объектов культурного наследия" подпрограммы 3 "Организационные, экономические механизмы развития культуры, архивного дела и историко-культурного наследия"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w:t>
      </w:r>
    </w:p>
    <w:p>
      <w:pPr>
        <w:pStyle w:val="0"/>
        <w:jc w:val="both"/>
      </w:pPr>
      <w:r>
        <w:rPr>
          <w:sz w:val="20"/>
        </w:rPr>
        <w:t xml:space="preserve">(в ред. </w:t>
      </w:r>
      <w:hyperlink w:history="0" r:id="rId201"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4. Муниципальные образования ежегодно в срок, установленный Департаментом культуры автономного округа (далее - Департамент), представляют заявки на получение субсидии (далее - заявка). Форму заявки утверждает Департамент.</w:t>
      </w:r>
    </w:p>
    <w:p>
      <w:pPr>
        <w:pStyle w:val="0"/>
        <w:spacing w:before="200" w:line-rule="auto"/>
        <w:ind w:firstLine="540"/>
        <w:jc w:val="both"/>
      </w:pPr>
      <w:r>
        <w:rPr>
          <w:sz w:val="20"/>
        </w:rPr>
        <w:t xml:space="preserve">5. Отбор заявок осуществляется в соответствии с Положением, утвержденным Департаментом, согласно критериям, приведенным в </w:t>
      </w:r>
      <w:hyperlink w:history="0" w:anchor="P980" w:tooltip="Перечень критериев отбора заявок">
        <w:r>
          <w:rPr>
            <w:sz w:val="20"/>
            <w:color w:val="0000ff"/>
          </w:rPr>
          <w:t xml:space="preserve">таблице 1</w:t>
        </w:r>
      </w:hyperlink>
      <w:r>
        <w:rPr>
          <w:sz w:val="20"/>
        </w:rPr>
        <w:t xml:space="preserve"> к Порядку.</w:t>
      </w:r>
    </w:p>
    <w:p>
      <w:pPr>
        <w:pStyle w:val="0"/>
        <w:spacing w:before="200" w:line-rule="auto"/>
        <w:ind w:firstLine="540"/>
        <w:jc w:val="both"/>
      </w:pPr>
      <w:r>
        <w:rPr>
          <w:sz w:val="20"/>
        </w:rPr>
        <w:t xml:space="preserve">Критериями отбора заявок на осуществление ремонтно-реставрационных работ памятников архитектуры и градостроительства являются:</w:t>
      </w:r>
    </w:p>
    <w:p>
      <w:pPr>
        <w:pStyle w:val="0"/>
        <w:spacing w:before="200" w:line-rule="auto"/>
        <w:ind w:firstLine="540"/>
        <w:jc w:val="both"/>
      </w:pPr>
      <w:r>
        <w:rPr>
          <w:sz w:val="20"/>
        </w:rPr>
        <w:t xml:space="preserve">наличие плана сохранения профильной деятельности памятников архитектуры и градостроительства или социально значимого способа его использования;</w:t>
      </w:r>
    </w:p>
    <w:p>
      <w:pPr>
        <w:pStyle w:val="0"/>
        <w:spacing w:before="200" w:line-rule="auto"/>
        <w:ind w:firstLine="540"/>
        <w:jc w:val="both"/>
      </w:pPr>
      <w:r>
        <w:rPr>
          <w:sz w:val="20"/>
        </w:rPr>
        <w:t xml:space="preserve">наличие предписания Службы государственной охраны объектов культурного наследия автономного округа.</w:t>
      </w:r>
    </w:p>
    <w:p>
      <w:pPr>
        <w:pStyle w:val="0"/>
        <w:spacing w:before="200" w:line-rule="auto"/>
        <w:ind w:firstLine="540"/>
        <w:jc w:val="both"/>
      </w:pPr>
      <w:r>
        <w:rPr>
          <w:sz w:val="20"/>
        </w:rPr>
        <w:t xml:space="preserve">6. Условия предоставления субсидии на модернизацию муниципальных общедоступных библиотек автономного округа:</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Условия предоставления субсидии на софинансирование расходов по осуществлению ремонтно-реставрационных работ памятников архитектуры и градостроительства, находящихся в муниципальной собственности, наличие следующих документов:</w:t>
      </w:r>
    </w:p>
    <w:p>
      <w:pPr>
        <w:pStyle w:val="0"/>
        <w:spacing w:before="200" w:line-rule="auto"/>
        <w:ind w:firstLine="540"/>
        <w:jc w:val="both"/>
      </w:pPr>
      <w:r>
        <w:rPr>
          <w:sz w:val="20"/>
        </w:rPr>
        <w:t xml:space="preserve">копия научно-проектной документации на проведение ремонтно-реставрационных работ;</w:t>
      </w:r>
    </w:p>
    <w:p>
      <w:pPr>
        <w:pStyle w:val="0"/>
        <w:spacing w:before="200" w:line-rule="auto"/>
        <w:ind w:firstLine="540"/>
        <w:jc w:val="both"/>
      </w:pPr>
      <w:r>
        <w:rPr>
          <w:sz w:val="20"/>
        </w:rPr>
        <w:t xml:space="preserve">копия документа о государственной регистрации права собственности на памятник архитектуры и градостроительства, земельный участок, на котором он расположен;</w:t>
      </w:r>
    </w:p>
    <w:p>
      <w:pPr>
        <w:pStyle w:val="0"/>
        <w:spacing w:before="200" w:line-rule="auto"/>
        <w:ind w:firstLine="540"/>
        <w:jc w:val="both"/>
      </w:pPr>
      <w:r>
        <w:rPr>
          <w:sz w:val="20"/>
        </w:rPr>
        <w:t xml:space="preserve">копия учетной карты памятника архитектуры и градостроительства (объекта культурного наследия);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8.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w:history="0" r:id="rId20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22.1</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Абзац утратил силу с 13 января 2023 года. - </w:t>
      </w:r>
      <w:hyperlink w:history="0" r:id="rId203"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bookmarkStart w:id="830" w:name="P830"/>
    <w:bookmarkEnd w:id="830"/>
    <w:p>
      <w:pPr>
        <w:pStyle w:val="0"/>
        <w:spacing w:before="200" w:line-rule="auto"/>
        <w:ind w:firstLine="540"/>
        <w:jc w:val="both"/>
      </w:pPr>
      <w:r>
        <w:rPr>
          <w:sz w:val="20"/>
        </w:rPr>
        <w:t xml:space="preserve">9. Уровень софинансирования расходного обязательства бюджета i-го муниципального образования автономного округа из средств бюджета автономного округа (Уi) по модернизации муниципальных общедоступных библиотек автономного округа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w:history="0" r:id="rId204"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041"/>
        <w:gridCol w:w="3742"/>
      </w:tblGrid>
      <w:tr>
        <w:tc>
          <w:tcPr>
            <w:tcW w:w="3288" w:type="dxa"/>
          </w:tcPr>
          <w:p>
            <w:pPr>
              <w:pStyle w:val="0"/>
              <w:jc w:val="center"/>
            </w:pPr>
            <w:r>
              <w:rPr>
                <w:sz w:val="20"/>
              </w:rPr>
              <w:t xml:space="preserve">Уровень расчетной бюджетной обеспеченности муниципального образования</w:t>
            </w:r>
          </w:p>
        </w:tc>
        <w:tc>
          <w:tcPr>
            <w:tcW w:w="2041" w:type="dxa"/>
          </w:tcPr>
          <w:p>
            <w:pPr>
              <w:pStyle w:val="0"/>
              <w:jc w:val="center"/>
            </w:pPr>
            <w:r>
              <w:rPr>
                <w:sz w:val="20"/>
              </w:rPr>
              <w:t xml:space="preserve">Группа муниципального образования</w:t>
            </w:r>
          </w:p>
        </w:tc>
        <w:tc>
          <w:tcPr>
            <w:tcW w:w="3742"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 (Уi)</w:t>
            </w:r>
          </w:p>
        </w:tc>
      </w:tr>
      <w:tr>
        <w:tc>
          <w:tcPr>
            <w:tcW w:w="3288" w:type="dxa"/>
          </w:tcPr>
          <w:p>
            <w:pPr>
              <w:pStyle w:val="0"/>
              <w:jc w:val="center"/>
            </w:pPr>
            <w:r>
              <w:rPr>
                <w:sz w:val="20"/>
              </w:rPr>
              <w:t xml:space="preserve">от 0 до 0,600</w:t>
            </w:r>
          </w:p>
        </w:tc>
        <w:tc>
          <w:tcPr>
            <w:tcW w:w="2041" w:type="dxa"/>
          </w:tcPr>
          <w:p>
            <w:pPr>
              <w:pStyle w:val="0"/>
              <w:jc w:val="center"/>
            </w:pPr>
            <w:r>
              <w:rPr>
                <w:sz w:val="20"/>
              </w:rPr>
              <w:t xml:space="preserve">1</w:t>
            </w:r>
          </w:p>
        </w:tc>
        <w:tc>
          <w:tcPr>
            <w:tcW w:w="3742" w:type="dxa"/>
          </w:tcPr>
          <w:p>
            <w:pPr>
              <w:pStyle w:val="0"/>
              <w:jc w:val="center"/>
            </w:pPr>
            <w:r>
              <w:rPr>
                <w:sz w:val="20"/>
              </w:rPr>
              <w:t xml:space="preserve">95%</w:t>
            </w:r>
          </w:p>
        </w:tc>
      </w:tr>
      <w:tr>
        <w:tc>
          <w:tcPr>
            <w:tcW w:w="3288" w:type="dxa"/>
          </w:tcPr>
          <w:p>
            <w:pPr>
              <w:pStyle w:val="0"/>
              <w:jc w:val="center"/>
            </w:pPr>
            <w:r>
              <w:rPr>
                <w:sz w:val="20"/>
              </w:rPr>
              <w:t xml:space="preserve">от 0,601 до 1,000</w:t>
            </w:r>
          </w:p>
        </w:tc>
        <w:tc>
          <w:tcPr>
            <w:tcW w:w="2041" w:type="dxa"/>
          </w:tcPr>
          <w:p>
            <w:pPr>
              <w:pStyle w:val="0"/>
              <w:jc w:val="center"/>
            </w:pPr>
            <w:r>
              <w:rPr>
                <w:sz w:val="20"/>
              </w:rPr>
              <w:t xml:space="preserve">2</w:t>
            </w:r>
          </w:p>
        </w:tc>
        <w:tc>
          <w:tcPr>
            <w:tcW w:w="3742" w:type="dxa"/>
          </w:tcPr>
          <w:p>
            <w:pPr>
              <w:pStyle w:val="0"/>
              <w:jc w:val="center"/>
            </w:pPr>
            <w:r>
              <w:rPr>
                <w:sz w:val="20"/>
              </w:rPr>
              <w:t xml:space="preserve">85%</w:t>
            </w:r>
          </w:p>
        </w:tc>
      </w:tr>
      <w:tr>
        <w:tc>
          <w:tcPr>
            <w:tcW w:w="3288" w:type="dxa"/>
          </w:tcPr>
          <w:p>
            <w:pPr>
              <w:pStyle w:val="0"/>
              <w:jc w:val="center"/>
            </w:pPr>
            <w:r>
              <w:rPr>
                <w:sz w:val="20"/>
              </w:rPr>
              <w:t xml:space="preserve">свыше 1,001</w:t>
            </w:r>
          </w:p>
        </w:tc>
        <w:tc>
          <w:tcPr>
            <w:tcW w:w="2041" w:type="dxa"/>
          </w:tcPr>
          <w:p>
            <w:pPr>
              <w:pStyle w:val="0"/>
              <w:jc w:val="center"/>
            </w:pPr>
            <w:r>
              <w:rPr>
                <w:sz w:val="20"/>
              </w:rPr>
              <w:t xml:space="preserve">3</w:t>
            </w:r>
          </w:p>
        </w:tc>
        <w:tc>
          <w:tcPr>
            <w:tcW w:w="3742" w:type="dxa"/>
          </w:tcPr>
          <w:p>
            <w:pPr>
              <w:pStyle w:val="0"/>
              <w:jc w:val="center"/>
            </w:pPr>
            <w:r>
              <w:rPr>
                <w:sz w:val="20"/>
              </w:rPr>
              <w:t xml:space="preserve">80%</w:t>
            </w:r>
          </w:p>
        </w:tc>
      </w:tr>
    </w:tbl>
    <w:p>
      <w:pPr>
        <w:pStyle w:val="0"/>
        <w:jc w:val="center"/>
      </w:pPr>
      <w:r>
        <w:rPr>
          <w:sz w:val="20"/>
        </w:rPr>
      </w:r>
    </w:p>
    <w:p>
      <w:pPr>
        <w:pStyle w:val="0"/>
        <w:ind w:firstLine="540"/>
        <w:jc w:val="both"/>
      </w:pPr>
      <w:r>
        <w:rPr>
          <w:sz w:val="20"/>
        </w:rPr>
        <w:t xml:space="preserve">Уровень софинансирования расходного обязательства бюджета i-го муниципального образования автономного округа из средств бюджета автономного округа (Уi) на осуществление ремонтно-реставрационных работ памятников архитектуры и градостроительства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041"/>
        <w:gridCol w:w="3742"/>
      </w:tblGrid>
      <w:tr>
        <w:tc>
          <w:tcPr>
            <w:tcW w:w="3288" w:type="dxa"/>
          </w:tcPr>
          <w:p>
            <w:pPr>
              <w:pStyle w:val="0"/>
              <w:jc w:val="center"/>
            </w:pPr>
            <w:r>
              <w:rPr>
                <w:sz w:val="20"/>
              </w:rPr>
              <w:t xml:space="preserve">Уровень расчетной бюджетной обеспеченности муниципального образования</w:t>
            </w:r>
          </w:p>
        </w:tc>
        <w:tc>
          <w:tcPr>
            <w:tcW w:w="2041" w:type="dxa"/>
          </w:tcPr>
          <w:p>
            <w:pPr>
              <w:pStyle w:val="0"/>
              <w:jc w:val="center"/>
            </w:pPr>
            <w:r>
              <w:rPr>
                <w:sz w:val="20"/>
              </w:rPr>
              <w:t xml:space="preserve">Группа муниципального образования</w:t>
            </w:r>
          </w:p>
        </w:tc>
        <w:tc>
          <w:tcPr>
            <w:tcW w:w="3742"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 Yi</w:t>
            </w:r>
          </w:p>
        </w:tc>
      </w:tr>
      <w:tr>
        <w:tc>
          <w:tcPr>
            <w:tcW w:w="3288" w:type="dxa"/>
          </w:tcPr>
          <w:p>
            <w:pPr>
              <w:pStyle w:val="0"/>
              <w:jc w:val="center"/>
            </w:pPr>
            <w:r>
              <w:rPr>
                <w:sz w:val="20"/>
              </w:rPr>
              <w:t xml:space="preserve">от 0 до 1,880</w:t>
            </w:r>
          </w:p>
        </w:tc>
        <w:tc>
          <w:tcPr>
            <w:tcW w:w="2041" w:type="dxa"/>
          </w:tcPr>
          <w:p>
            <w:pPr>
              <w:pStyle w:val="0"/>
              <w:jc w:val="center"/>
            </w:pPr>
            <w:r>
              <w:rPr>
                <w:sz w:val="20"/>
              </w:rPr>
              <w:t xml:space="preserve">1</w:t>
            </w:r>
          </w:p>
        </w:tc>
        <w:tc>
          <w:tcPr>
            <w:tcW w:w="3742" w:type="dxa"/>
          </w:tcPr>
          <w:p>
            <w:pPr>
              <w:pStyle w:val="0"/>
              <w:jc w:val="center"/>
            </w:pPr>
            <w:r>
              <w:rPr>
                <w:sz w:val="20"/>
              </w:rPr>
              <w:t xml:space="preserve">95%</w:t>
            </w:r>
          </w:p>
        </w:tc>
      </w:tr>
    </w:tbl>
    <w:p>
      <w:pPr>
        <w:pStyle w:val="0"/>
        <w:ind w:firstLine="540"/>
        <w:jc w:val="both"/>
      </w:pPr>
      <w:r>
        <w:rPr>
          <w:sz w:val="20"/>
        </w:rPr>
      </w:r>
    </w:p>
    <w:p>
      <w:pPr>
        <w:pStyle w:val="0"/>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pPr>
        <w:pStyle w:val="0"/>
        <w:spacing w:before="200" w:line-rule="auto"/>
        <w:ind w:firstLine="540"/>
        <w:jc w:val="both"/>
      </w:pPr>
      <w:r>
        <w:rPr>
          <w:sz w:val="20"/>
        </w:rPr>
        <w:t xml:space="preserve">10. Объем Субсидии, предоставляемой i-му муниципальному образованию автономного округа, определяется по формуле:</w:t>
      </w:r>
    </w:p>
    <w:p>
      <w:pPr>
        <w:pStyle w:val="0"/>
        <w:jc w:val="center"/>
      </w:pPr>
      <w:r>
        <w:rPr>
          <w:sz w:val="20"/>
        </w:rPr>
      </w:r>
    </w:p>
    <w:p>
      <w:pPr>
        <w:pStyle w:val="0"/>
        <w:jc w:val="center"/>
      </w:pPr>
      <w:r>
        <w:rPr>
          <w:sz w:val="20"/>
        </w:rPr>
        <w:t xml:space="preserve">S im = Sbi + Pi, где:</w:t>
      </w:r>
    </w:p>
    <w:p>
      <w:pPr>
        <w:pStyle w:val="0"/>
        <w:jc w:val="center"/>
      </w:pPr>
      <w:r>
        <w:rPr>
          <w:sz w:val="20"/>
        </w:rPr>
      </w:r>
    </w:p>
    <w:p>
      <w:pPr>
        <w:pStyle w:val="0"/>
        <w:ind w:firstLine="540"/>
        <w:jc w:val="both"/>
      </w:pPr>
      <w:r>
        <w:rPr>
          <w:sz w:val="20"/>
        </w:rPr>
        <w:t xml:space="preserve">Sim - объем субсидии, тыс. рублей;</w:t>
      </w:r>
    </w:p>
    <w:p>
      <w:pPr>
        <w:pStyle w:val="0"/>
        <w:spacing w:before="200" w:line-rule="auto"/>
        <w:ind w:firstLine="540"/>
        <w:jc w:val="both"/>
      </w:pPr>
      <w:r>
        <w:rPr>
          <w:sz w:val="20"/>
        </w:rPr>
        <w:t xml:space="preserve">Sbi - объем субсидии на софинансирование расходов на модернизацию муниципальных общедоступных библиотек;</w:t>
      </w:r>
    </w:p>
    <w:p>
      <w:pPr>
        <w:pStyle w:val="0"/>
        <w:spacing w:before="200" w:line-rule="auto"/>
        <w:ind w:firstLine="540"/>
        <w:jc w:val="both"/>
      </w:pPr>
      <w:r>
        <w:rPr>
          <w:sz w:val="20"/>
        </w:rPr>
        <w:t xml:space="preserve">Pi - объем субсидии на софинансирование расходов на осуществление ремонтно-реставрационных работ памятников архитектуры и градостроительства.</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830" w:tooltip="9. Уровень софинансирования расходного обязательства бюджета i-го муниципального образования автономного округа из средств бюджета автономного округа (Уi) по модернизации муниципальных общедоступных библиотек автономного округа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разделом IV Методики распределения дотаций на выравнивание бюджетной обе...">
        <w:r>
          <w:rPr>
            <w:sz w:val="20"/>
            <w:color w:val="0000ff"/>
          </w:rPr>
          <w:t xml:space="preserve">пункте 9</w:t>
        </w:r>
      </w:hyperlink>
      <w:r>
        <w:rPr>
          <w:sz w:val="20"/>
        </w:rPr>
        <w:t xml:space="preserve"> Порядка.</w:t>
      </w:r>
    </w:p>
    <w:p>
      <w:pPr>
        <w:pStyle w:val="0"/>
        <w:jc w:val="both"/>
      </w:pPr>
      <w:r>
        <w:rPr>
          <w:sz w:val="20"/>
        </w:rPr>
        <w:t xml:space="preserve">(абзац введен </w:t>
      </w:r>
      <w:hyperlink w:history="0" r:id="rId205"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13.01.2023 N 2-п)</w:t>
      </w:r>
    </w:p>
    <w:p>
      <w:pPr>
        <w:pStyle w:val="0"/>
        <w:spacing w:before="200" w:line-rule="auto"/>
        <w:ind w:firstLine="540"/>
        <w:jc w:val="both"/>
      </w:pPr>
      <w:r>
        <w:rPr>
          <w:sz w:val="20"/>
        </w:rPr>
        <w:t xml:space="preserve">11. Субсидия на софинансирование расходов по модернизации муниципальных общедоступных библиотек предоставляется на реализацию следующих мероприятий:</w:t>
      </w:r>
    </w:p>
    <w:p>
      <w:pPr>
        <w:pStyle w:val="0"/>
        <w:spacing w:before="200" w:line-rule="auto"/>
        <w:ind w:firstLine="540"/>
        <w:jc w:val="both"/>
      </w:pPr>
      <w:r>
        <w:rPr>
          <w:sz w:val="20"/>
        </w:rPr>
        <w:t xml:space="preserve">создание и модернизацию собственных сайтов библиотек, предоставление доступа к электронным каталогам (далее - ЭК), полнотекстовым ресурсам;</w:t>
      </w:r>
    </w:p>
    <w:p>
      <w:pPr>
        <w:pStyle w:val="0"/>
        <w:spacing w:before="200" w:line-rule="auto"/>
        <w:ind w:firstLine="540"/>
        <w:jc w:val="both"/>
      </w:pPr>
      <w:r>
        <w:rPr>
          <w:sz w:val="20"/>
        </w:rPr>
        <w:t xml:space="preserve">подключение общедоступных библиотек к сети Интернет;</w:t>
      </w:r>
    </w:p>
    <w:p>
      <w:pPr>
        <w:pStyle w:val="0"/>
        <w:spacing w:before="200" w:line-rule="auto"/>
        <w:ind w:firstLine="540"/>
        <w:jc w:val="both"/>
      </w:pPr>
      <w:r>
        <w:rPr>
          <w:sz w:val="20"/>
        </w:rPr>
        <w:t xml:space="preserve">перевод документов в машиночитаемые форматы;</w:t>
      </w:r>
    </w:p>
    <w:p>
      <w:pPr>
        <w:pStyle w:val="0"/>
        <w:spacing w:before="200" w:line-rule="auto"/>
        <w:ind w:firstLine="540"/>
        <w:jc w:val="both"/>
      </w:pPr>
      <w:r>
        <w:rPr>
          <w:sz w:val="20"/>
        </w:rPr>
        <w:t xml:space="preserve">поставку автоматизированных библиотечно-информационных систем в библиотеки для осуществления электронной каталогизации и предоставления услуг в электронном виде;</w:t>
      </w:r>
    </w:p>
    <w:p>
      <w:pPr>
        <w:pStyle w:val="0"/>
        <w:spacing w:before="200" w:line-rule="auto"/>
        <w:ind w:firstLine="540"/>
        <w:jc w:val="both"/>
      </w:pPr>
      <w:r>
        <w:rPr>
          <w:sz w:val="20"/>
        </w:rPr>
        <w:t xml:space="preserve">участие в создании сводных библиотечно-информационных ресурсов автономного округа;</w:t>
      </w:r>
    </w:p>
    <w:p>
      <w:pPr>
        <w:pStyle w:val="0"/>
        <w:spacing w:before="200" w:line-rule="auto"/>
        <w:ind w:firstLine="540"/>
        <w:jc w:val="both"/>
      </w:pPr>
      <w:r>
        <w:rPr>
          <w:sz w:val="20"/>
        </w:rPr>
        <w:t xml:space="preserve">автоматизацию библиотек, приобретение автоматизированных рабочих мест (далее - АРМ), модернизацию парка персональных компьютеров (далее - ПК), программного обеспечения (далее - ПО), периферийного и мультимедийного оборудования, проведение локально-вычислительных сетей (далее - ЛВС);</w:t>
      </w:r>
    </w:p>
    <w:p>
      <w:pPr>
        <w:pStyle w:val="0"/>
        <w:spacing w:before="200" w:line-rule="auto"/>
        <w:ind w:firstLine="540"/>
        <w:jc w:val="both"/>
      </w:pPr>
      <w:r>
        <w:rPr>
          <w:sz w:val="20"/>
        </w:rPr>
        <w:t xml:space="preserve">создание новых центров общественного доступа к социально значимой информации (далее - ЦОД);</w:t>
      </w:r>
    </w:p>
    <w:p>
      <w:pPr>
        <w:pStyle w:val="0"/>
        <w:spacing w:before="200" w:line-rule="auto"/>
        <w:ind w:firstLine="540"/>
        <w:jc w:val="both"/>
      </w:pPr>
      <w:r>
        <w:rPr>
          <w:sz w:val="20"/>
        </w:rPr>
        <w:t xml:space="preserve">приобретение и установку специализированного оборудования для инвалидов;</w:t>
      </w:r>
    </w:p>
    <w:p>
      <w:pPr>
        <w:pStyle w:val="0"/>
        <w:spacing w:before="200" w:line-rule="auto"/>
        <w:ind w:firstLine="540"/>
        <w:jc w:val="both"/>
      </w:pPr>
      <w:r>
        <w:rPr>
          <w:sz w:val="20"/>
        </w:rPr>
        <w:t xml:space="preserve">поэтапную автоматизацию внутрибиблиотечных процессов и процессов обслуживания пользователей;</w:t>
      </w:r>
    </w:p>
    <w:p>
      <w:pPr>
        <w:pStyle w:val="0"/>
        <w:spacing w:before="200" w:line-rule="auto"/>
        <w:ind w:firstLine="540"/>
        <w:jc w:val="both"/>
      </w:pPr>
      <w:r>
        <w:rPr>
          <w:sz w:val="20"/>
        </w:rPr>
        <w:t xml:space="preserve">подписку (приобретение) периодических изданий;</w:t>
      </w:r>
    </w:p>
    <w:p>
      <w:pPr>
        <w:pStyle w:val="0"/>
        <w:spacing w:before="200" w:line-rule="auto"/>
        <w:ind w:firstLine="540"/>
        <w:jc w:val="both"/>
      </w:pPr>
      <w:r>
        <w:rPr>
          <w:sz w:val="20"/>
        </w:rPr>
        <w:t xml:space="preserve">обновление электронных баз данных (далее - ЭБД);</w:t>
      </w:r>
    </w:p>
    <w:p>
      <w:pPr>
        <w:pStyle w:val="0"/>
        <w:spacing w:before="200" w:line-rule="auto"/>
        <w:ind w:firstLine="540"/>
        <w:jc w:val="both"/>
      </w:pPr>
      <w:r>
        <w:rPr>
          <w:sz w:val="20"/>
        </w:rPr>
        <w:t xml:space="preserve">модернизацию межпоселенческих библиотек, расположенных в сельской местности;</w:t>
      </w:r>
    </w:p>
    <w:p>
      <w:pPr>
        <w:pStyle w:val="0"/>
        <w:spacing w:before="200" w:line-rule="auto"/>
        <w:ind w:firstLine="540"/>
        <w:jc w:val="both"/>
      </w:pPr>
      <w:r>
        <w:rPr>
          <w:sz w:val="20"/>
        </w:rPr>
        <w:t xml:space="preserve">модернизацию библиотек сельских поселений;</w:t>
      </w:r>
    </w:p>
    <w:p>
      <w:pPr>
        <w:pStyle w:val="0"/>
        <w:spacing w:before="200" w:line-rule="auto"/>
        <w:ind w:firstLine="540"/>
        <w:jc w:val="both"/>
      </w:pPr>
      <w:r>
        <w:rPr>
          <w:sz w:val="20"/>
        </w:rPr>
        <w:t xml:space="preserve">модернизацию детских библиотек;</w:t>
      </w:r>
    </w:p>
    <w:p>
      <w:pPr>
        <w:pStyle w:val="0"/>
        <w:spacing w:before="200" w:line-rule="auto"/>
        <w:ind w:firstLine="540"/>
        <w:jc w:val="both"/>
      </w:pPr>
      <w:r>
        <w:rPr>
          <w:sz w:val="20"/>
        </w:rPr>
        <w:t xml:space="preserve">создание (модернизацию) детских зон обслуживания;</w:t>
      </w:r>
    </w:p>
    <w:p>
      <w:pPr>
        <w:pStyle w:val="0"/>
        <w:spacing w:before="200" w:line-rule="auto"/>
        <w:ind w:firstLine="540"/>
        <w:jc w:val="both"/>
      </w:pPr>
      <w:r>
        <w:rPr>
          <w:sz w:val="20"/>
        </w:rPr>
        <w:t xml:space="preserve">создание (модернизацию) библиотечных пунктов;</w:t>
      </w:r>
    </w:p>
    <w:p>
      <w:pPr>
        <w:pStyle w:val="0"/>
        <w:spacing w:before="200" w:line-rule="auto"/>
        <w:ind w:firstLine="540"/>
        <w:jc w:val="both"/>
      </w:pPr>
      <w:r>
        <w:rPr>
          <w:sz w:val="20"/>
        </w:rPr>
        <w:t xml:space="preserve">приобретение библиобусов.</w:t>
      </w:r>
    </w:p>
    <w:p>
      <w:pPr>
        <w:pStyle w:val="0"/>
        <w:spacing w:before="200" w:line-rule="auto"/>
        <w:ind w:firstLine="540"/>
        <w:jc w:val="both"/>
      </w:pPr>
      <w:r>
        <w:rPr>
          <w:sz w:val="20"/>
        </w:rPr>
        <w:t xml:space="preserve">12. Объем Субсидии на софинансирование расходов на модернизацию муниципальных общедоступных библиотек определяется по формуле:</w:t>
      </w:r>
    </w:p>
    <w:p>
      <w:pPr>
        <w:pStyle w:val="0"/>
        <w:ind w:firstLine="540"/>
        <w:jc w:val="both"/>
      </w:pPr>
      <w:r>
        <w:rPr>
          <w:sz w:val="20"/>
        </w:rPr>
      </w:r>
    </w:p>
    <w:p>
      <w:pPr>
        <w:pStyle w:val="0"/>
        <w:jc w:val="center"/>
      </w:pPr>
      <w:r>
        <w:rPr>
          <w:sz w:val="20"/>
        </w:rPr>
        <w:t xml:space="preserve">Sbi = V1i + V2i + V3i, где:</w:t>
      </w:r>
    </w:p>
    <w:p>
      <w:pPr>
        <w:pStyle w:val="0"/>
        <w:ind w:firstLine="540"/>
        <w:jc w:val="both"/>
      </w:pPr>
      <w:r>
        <w:rPr>
          <w:sz w:val="20"/>
        </w:rPr>
      </w:r>
    </w:p>
    <w:p>
      <w:pPr>
        <w:pStyle w:val="0"/>
        <w:ind w:firstLine="540"/>
        <w:jc w:val="both"/>
      </w:pPr>
      <w:r>
        <w:rPr>
          <w:sz w:val="20"/>
        </w:rPr>
        <w:t xml:space="preserve">Sbi - объем субсидии на софинансирование расходов на модернизацию муниципальных общедоступных библиотек для i-го муниципального образования, тыс. рублей;</w:t>
      </w:r>
    </w:p>
    <w:p>
      <w:pPr>
        <w:pStyle w:val="0"/>
        <w:spacing w:before="200" w:line-rule="auto"/>
        <w:ind w:firstLine="540"/>
        <w:jc w:val="both"/>
      </w:pPr>
      <w:r>
        <w:rPr>
          <w:sz w:val="20"/>
        </w:rPr>
        <w:t xml:space="preserve">V1i - объем субсидии на софинансирование мероприятий по формированию общенациональных информационных ресурсов муниципальных общедоступных библиотек для i-го муниципального образования, тыс. рублей;</w:t>
      </w:r>
    </w:p>
    <w:p>
      <w:pPr>
        <w:pStyle w:val="0"/>
        <w:spacing w:before="200" w:line-rule="auto"/>
        <w:ind w:firstLine="540"/>
        <w:jc w:val="both"/>
      </w:pPr>
      <w:r>
        <w:rPr>
          <w:sz w:val="20"/>
        </w:rPr>
        <w:t xml:space="preserve">V2i - объем субсидии на софинансирование мероприятий по развитию каналов доступа к мировым информационным ресурсам для i-го муниципального образования, тыс. рублей;</w:t>
      </w:r>
    </w:p>
    <w:p>
      <w:pPr>
        <w:pStyle w:val="0"/>
        <w:spacing w:before="200" w:line-rule="auto"/>
        <w:ind w:firstLine="540"/>
        <w:jc w:val="both"/>
      </w:pPr>
      <w:r>
        <w:rPr>
          <w:sz w:val="20"/>
        </w:rPr>
        <w:t xml:space="preserve">V3i - объем субсидии на софинансирование мероприятий по формированию нового социокультурного пространства для i-го муниципального образования, тыс. рублей.</w:t>
      </w:r>
    </w:p>
    <w:p>
      <w:pPr>
        <w:pStyle w:val="0"/>
        <w:spacing w:before="200" w:line-rule="auto"/>
        <w:ind w:firstLine="540"/>
        <w:jc w:val="both"/>
      </w:pPr>
      <w:r>
        <w:rPr>
          <w:sz w:val="20"/>
        </w:rPr>
        <w:t xml:space="preserve">13. Объем субсидии на софинансирование мероприятий (V1i) по формированию общенациональных информационных ресурсов муниципальных общедоступных библиотек для i-го муниципального образования определяется по следующей формуле:</w:t>
      </w:r>
    </w:p>
    <w:p>
      <w:pPr>
        <w:pStyle w:val="0"/>
        <w:jc w:val="center"/>
      </w:pPr>
      <w:r>
        <w:rPr>
          <w:sz w:val="20"/>
        </w:rPr>
      </w:r>
    </w:p>
    <w:p>
      <w:pPr>
        <w:pStyle w:val="0"/>
        <w:jc w:val="center"/>
      </w:pPr>
      <w:r>
        <w:rPr>
          <w:sz w:val="20"/>
        </w:rPr>
        <w:t xml:space="preserve">V1i = Уi x ((cbi1 x nbi1) + ... + (cbi10 x nbi10)), где:</w:t>
      </w:r>
    </w:p>
    <w:p>
      <w:pPr>
        <w:pStyle w:val="0"/>
        <w:jc w:val="center"/>
      </w:pPr>
      <w:r>
        <w:rPr>
          <w:sz w:val="20"/>
        </w:rPr>
      </w:r>
    </w:p>
    <w:p>
      <w:pPr>
        <w:pStyle w:val="0"/>
        <w:ind w:firstLine="540"/>
        <w:jc w:val="both"/>
      </w:pPr>
      <w:r>
        <w:rPr>
          <w:sz w:val="20"/>
        </w:rPr>
        <w:t xml:space="preserve">Уi - уровень софинансирования расходного обязательства бюджета i-го муниципального образования из средств бюджета автономного округа;</w:t>
      </w:r>
    </w:p>
    <w:p>
      <w:pPr>
        <w:pStyle w:val="0"/>
        <w:spacing w:before="200" w:line-rule="auto"/>
        <w:ind w:firstLine="540"/>
        <w:jc w:val="both"/>
      </w:pPr>
      <w:r>
        <w:rPr>
          <w:sz w:val="20"/>
        </w:rPr>
        <w:t xml:space="preserve">c - среднерыночная стоимость товаров, работ, услуг определенного вида, тыс. рублей;</w:t>
      </w:r>
    </w:p>
    <w:p>
      <w:pPr>
        <w:pStyle w:val="0"/>
        <w:spacing w:before="200" w:line-rule="auto"/>
        <w:ind w:firstLine="540"/>
        <w:jc w:val="both"/>
      </w:pPr>
      <w:r>
        <w:rPr>
          <w:sz w:val="20"/>
        </w:rPr>
        <w:t xml:space="preserve">n - количество комплектов товаров, работ, услуг, необходимых для i-го муниципального образования;</w:t>
      </w:r>
    </w:p>
    <w:p>
      <w:pPr>
        <w:pStyle w:val="0"/>
        <w:spacing w:before="200" w:line-rule="auto"/>
        <w:ind w:firstLine="540"/>
        <w:jc w:val="both"/>
      </w:pPr>
      <w:r>
        <w:rPr>
          <w:sz w:val="20"/>
        </w:rPr>
        <w:t xml:space="preserve">bi1 - комплект оборудования, необходимого лицензионного программного обеспечения (далее - ПО), услуг по созданию и адаптации собственных сайтов;</w:t>
      </w:r>
    </w:p>
    <w:p>
      <w:pPr>
        <w:pStyle w:val="0"/>
        <w:spacing w:before="200" w:line-rule="auto"/>
        <w:ind w:firstLine="540"/>
        <w:jc w:val="both"/>
      </w:pPr>
      <w:r>
        <w:rPr>
          <w:sz w:val="20"/>
        </w:rPr>
        <w:t xml:space="preserve">bi2 - комплект оборудования, необходимого лицензионного ПО, услуги по модернизации имеющихся сайтов библиотек, предоставление доступа к ЭК, полнотекстовым ресурсам;</w:t>
      </w:r>
    </w:p>
    <w:p>
      <w:pPr>
        <w:pStyle w:val="0"/>
        <w:spacing w:before="200" w:line-rule="auto"/>
        <w:ind w:firstLine="540"/>
        <w:jc w:val="both"/>
      </w:pPr>
      <w:r>
        <w:rPr>
          <w:sz w:val="20"/>
        </w:rPr>
        <w:t xml:space="preserve">bi3 - комплект оборудования, необходимого лицензионного ПО, услуги по подключению общедоступных библиотек к сети Интернет;</w:t>
      </w:r>
    </w:p>
    <w:p>
      <w:pPr>
        <w:pStyle w:val="0"/>
        <w:spacing w:before="200" w:line-rule="auto"/>
        <w:ind w:firstLine="540"/>
        <w:jc w:val="both"/>
      </w:pPr>
      <w:r>
        <w:rPr>
          <w:sz w:val="20"/>
        </w:rPr>
        <w:t xml:space="preserve">bi4 - комплект оборудования, услуги по переводу документов в машиночитаемые форматы;</w:t>
      </w:r>
    </w:p>
    <w:p>
      <w:pPr>
        <w:pStyle w:val="0"/>
        <w:spacing w:before="200" w:line-rule="auto"/>
        <w:ind w:firstLine="540"/>
        <w:jc w:val="both"/>
      </w:pPr>
      <w:r>
        <w:rPr>
          <w:sz w:val="20"/>
        </w:rPr>
        <w:t xml:space="preserve">bi5 - комплект оборудования, необходимого лицензионного ПО, услуги по обеспечению функционирования автоматизированных библиотечно-информационных систем для осуществления электронной каталогизации;</w:t>
      </w:r>
    </w:p>
    <w:p>
      <w:pPr>
        <w:pStyle w:val="0"/>
        <w:spacing w:before="200" w:line-rule="auto"/>
        <w:ind w:firstLine="540"/>
        <w:jc w:val="both"/>
      </w:pPr>
      <w:r>
        <w:rPr>
          <w:sz w:val="20"/>
        </w:rPr>
        <w:t xml:space="preserve">bi6 - комплект оборудования, услуги по созданию сводных библиотечно-информационных ресурсов автономного округа;</w:t>
      </w:r>
    </w:p>
    <w:p>
      <w:pPr>
        <w:pStyle w:val="0"/>
        <w:spacing w:before="200" w:line-rule="auto"/>
        <w:ind w:firstLine="540"/>
        <w:jc w:val="both"/>
      </w:pPr>
      <w:r>
        <w:rPr>
          <w:sz w:val="20"/>
        </w:rPr>
        <w:t xml:space="preserve">bi7 - комплект оборудования для автоматизации библиотек, приобретения, модернизации парка ПК, ПО, периферийного и мультимедийного оборудования, проведения ЛВС;</w:t>
      </w:r>
    </w:p>
    <w:p>
      <w:pPr>
        <w:pStyle w:val="0"/>
        <w:spacing w:before="200" w:line-rule="auto"/>
        <w:ind w:firstLine="540"/>
        <w:jc w:val="both"/>
      </w:pPr>
      <w:r>
        <w:rPr>
          <w:sz w:val="20"/>
        </w:rPr>
        <w:t xml:space="preserve">bi8 - комплект оборудования, необходимого лицензионного ПО, услуги по созданию ЦОД;</w:t>
      </w:r>
    </w:p>
    <w:p>
      <w:pPr>
        <w:pStyle w:val="0"/>
        <w:spacing w:before="200" w:line-rule="auto"/>
        <w:ind w:firstLine="540"/>
        <w:jc w:val="both"/>
      </w:pPr>
      <w:r>
        <w:rPr>
          <w:sz w:val="20"/>
        </w:rPr>
        <w:t xml:space="preserve">bi9 - комплект специализированного оборудования, необходимого лицензионного ПО для инвалидов;</w:t>
      </w:r>
    </w:p>
    <w:p>
      <w:pPr>
        <w:pStyle w:val="0"/>
        <w:spacing w:before="200" w:line-rule="auto"/>
        <w:ind w:firstLine="540"/>
        <w:jc w:val="both"/>
      </w:pPr>
      <w:r>
        <w:rPr>
          <w:sz w:val="20"/>
        </w:rPr>
        <w:t xml:space="preserve">bi10 - комплект оборудования, необходимого лицензионного ПО, услуг по осуществлению поэтапной автоматизации внутрибиблиотечных процессов и процессов обслуживания пользователей.</w:t>
      </w:r>
    </w:p>
    <w:p>
      <w:pPr>
        <w:pStyle w:val="0"/>
        <w:spacing w:before="200" w:line-rule="auto"/>
        <w:ind w:firstLine="540"/>
        <w:jc w:val="both"/>
      </w:pPr>
      <w:r>
        <w:rPr>
          <w:sz w:val="20"/>
        </w:rPr>
        <w:t xml:space="preserve">14. Объем Субсидии на софинансирование (V2i) мероприятий по развитию каналов доступа к мировым информационным ресурсам для i-го муниципального образования, осуществляется по следующей формуле:</w:t>
      </w:r>
    </w:p>
    <w:p>
      <w:pPr>
        <w:pStyle w:val="0"/>
        <w:ind w:firstLine="540"/>
        <w:jc w:val="both"/>
      </w:pPr>
      <w:r>
        <w:rPr>
          <w:sz w:val="20"/>
        </w:rPr>
      </w:r>
    </w:p>
    <w:p>
      <w:pPr>
        <w:pStyle w:val="0"/>
        <w:jc w:val="center"/>
      </w:pPr>
      <w:r>
        <w:rPr>
          <w:sz w:val="20"/>
        </w:rPr>
        <w:t xml:space="preserve">V2i = Уi x ((cbi11 x nbi11) + (cbi12 x nbi12)), где:</w:t>
      </w:r>
    </w:p>
    <w:p>
      <w:pPr>
        <w:pStyle w:val="0"/>
        <w:ind w:firstLine="540"/>
        <w:jc w:val="both"/>
      </w:pPr>
      <w:r>
        <w:rPr>
          <w:sz w:val="20"/>
        </w:rPr>
      </w:r>
    </w:p>
    <w:p>
      <w:pPr>
        <w:pStyle w:val="0"/>
        <w:ind w:firstLine="540"/>
        <w:jc w:val="both"/>
      </w:pPr>
      <w:r>
        <w:rPr>
          <w:sz w:val="20"/>
        </w:rPr>
        <w:t xml:space="preserve">Уi - уровень софинансирования расходного обязательства бюджета i-го муниципального образования из средств бюджета автономного округа;</w:t>
      </w:r>
    </w:p>
    <w:p>
      <w:pPr>
        <w:pStyle w:val="0"/>
        <w:spacing w:before="200" w:line-rule="auto"/>
        <w:ind w:firstLine="540"/>
        <w:jc w:val="both"/>
      </w:pPr>
      <w:r>
        <w:rPr>
          <w:sz w:val="20"/>
        </w:rPr>
        <w:t xml:space="preserve">c - среднерыночная стоимость товаров, работ, услуг определенного вида, тыс. рублей;</w:t>
      </w:r>
    </w:p>
    <w:p>
      <w:pPr>
        <w:pStyle w:val="0"/>
        <w:spacing w:before="200" w:line-rule="auto"/>
        <w:ind w:firstLine="540"/>
        <w:jc w:val="both"/>
      </w:pPr>
      <w:r>
        <w:rPr>
          <w:sz w:val="20"/>
        </w:rPr>
        <w:t xml:space="preserve">n - количество комплектов товаров, работ, услуг, необходимых для i-го муниципального образования;</w:t>
      </w:r>
    </w:p>
    <w:p>
      <w:pPr>
        <w:pStyle w:val="0"/>
        <w:spacing w:before="200" w:line-rule="auto"/>
        <w:ind w:firstLine="540"/>
        <w:jc w:val="both"/>
      </w:pPr>
      <w:r>
        <w:rPr>
          <w:sz w:val="20"/>
        </w:rPr>
        <w:t xml:space="preserve">bi11 - комплект периодических изданий для пополнения библиотечного фонда;</w:t>
      </w:r>
    </w:p>
    <w:p>
      <w:pPr>
        <w:pStyle w:val="0"/>
        <w:spacing w:before="200" w:line-rule="auto"/>
        <w:ind w:firstLine="540"/>
        <w:jc w:val="both"/>
      </w:pPr>
      <w:r>
        <w:rPr>
          <w:sz w:val="20"/>
        </w:rPr>
        <w:t xml:space="preserve">bi12 - комплект лицензионного ПО для обновления электронных баз данных.</w:t>
      </w:r>
    </w:p>
    <w:p>
      <w:pPr>
        <w:pStyle w:val="0"/>
        <w:spacing w:before="200" w:line-rule="auto"/>
        <w:ind w:firstLine="540"/>
        <w:jc w:val="both"/>
      </w:pPr>
      <w:r>
        <w:rPr>
          <w:sz w:val="20"/>
        </w:rPr>
        <w:t xml:space="preserve">15. Объем Субсидии на софинансирование (V3i) мероприятий по формированию нового социокультурного пространства для i-го муниципального образования осуществляется по следующей формуле:</w:t>
      </w:r>
    </w:p>
    <w:p>
      <w:pPr>
        <w:pStyle w:val="0"/>
        <w:jc w:val="center"/>
      </w:pPr>
      <w:r>
        <w:rPr>
          <w:sz w:val="20"/>
        </w:rPr>
      </w:r>
    </w:p>
    <w:p>
      <w:pPr>
        <w:pStyle w:val="0"/>
        <w:jc w:val="center"/>
      </w:pPr>
      <w:r>
        <w:rPr>
          <w:sz w:val="20"/>
        </w:rPr>
        <w:t xml:space="preserve">V3i = Уi x ((cbi13 x nbi13) + ... + (cbi18 x nbi18)), где:</w:t>
      </w:r>
    </w:p>
    <w:p>
      <w:pPr>
        <w:pStyle w:val="0"/>
        <w:jc w:val="center"/>
      </w:pPr>
      <w:r>
        <w:rPr>
          <w:sz w:val="20"/>
        </w:rPr>
      </w:r>
    </w:p>
    <w:p>
      <w:pPr>
        <w:pStyle w:val="0"/>
        <w:ind w:firstLine="540"/>
        <w:jc w:val="both"/>
      </w:pPr>
      <w:r>
        <w:rPr>
          <w:sz w:val="20"/>
        </w:rPr>
        <w:t xml:space="preserve">Уi - уровень софинансирования расходного обязательства бюджета i-го муниципального образования из средств бюджета автономного округа;</w:t>
      </w:r>
    </w:p>
    <w:p>
      <w:pPr>
        <w:pStyle w:val="0"/>
        <w:spacing w:before="200" w:line-rule="auto"/>
        <w:ind w:firstLine="540"/>
        <w:jc w:val="both"/>
      </w:pPr>
      <w:r>
        <w:rPr>
          <w:sz w:val="20"/>
        </w:rPr>
        <w:t xml:space="preserve">c - среднерыночная стоимость оборудования определенного вида, тыс. рублей;</w:t>
      </w:r>
    </w:p>
    <w:p>
      <w:pPr>
        <w:pStyle w:val="0"/>
        <w:spacing w:before="200" w:line-rule="auto"/>
        <w:ind w:firstLine="540"/>
        <w:jc w:val="both"/>
      </w:pPr>
      <w:r>
        <w:rPr>
          <w:sz w:val="20"/>
        </w:rPr>
        <w:t xml:space="preserve">n - количество комплектов оборудования, необходимого для i-го муниципального образования;</w:t>
      </w:r>
    </w:p>
    <w:p>
      <w:pPr>
        <w:pStyle w:val="0"/>
        <w:spacing w:before="200" w:line-rule="auto"/>
        <w:ind w:firstLine="540"/>
        <w:jc w:val="both"/>
      </w:pPr>
      <w:r>
        <w:rPr>
          <w:sz w:val="20"/>
        </w:rPr>
        <w:t xml:space="preserve">bi13 - комплект оборудования, лицензионного ПО, услуг по модернизации межпоселенческих библиотек, расположенных в сельской местности;</w:t>
      </w:r>
    </w:p>
    <w:p>
      <w:pPr>
        <w:pStyle w:val="0"/>
        <w:spacing w:before="200" w:line-rule="auto"/>
        <w:ind w:firstLine="540"/>
        <w:jc w:val="both"/>
      </w:pPr>
      <w:r>
        <w:rPr>
          <w:sz w:val="20"/>
        </w:rPr>
        <w:t xml:space="preserve">bi14 - комплект оборудования, лицензионного ПО, услуг по модернизации библиотек сельских поселений;</w:t>
      </w:r>
    </w:p>
    <w:p>
      <w:pPr>
        <w:pStyle w:val="0"/>
        <w:spacing w:before="200" w:line-rule="auto"/>
        <w:ind w:firstLine="540"/>
        <w:jc w:val="both"/>
      </w:pPr>
      <w:r>
        <w:rPr>
          <w:sz w:val="20"/>
        </w:rPr>
        <w:t xml:space="preserve">bi15 - комплект оборудования, лицензионного ПО, услуг по модернизации детских библиотек;</w:t>
      </w:r>
    </w:p>
    <w:p>
      <w:pPr>
        <w:pStyle w:val="0"/>
        <w:spacing w:before="200" w:line-rule="auto"/>
        <w:ind w:firstLine="540"/>
        <w:jc w:val="both"/>
      </w:pPr>
      <w:r>
        <w:rPr>
          <w:sz w:val="20"/>
        </w:rPr>
        <w:t xml:space="preserve">bi16 - комплект оборудования, лицензионного ПО, услуг по созданию (модернизации) детских зон обслуживания;</w:t>
      </w:r>
    </w:p>
    <w:p>
      <w:pPr>
        <w:pStyle w:val="0"/>
        <w:spacing w:before="200" w:line-rule="auto"/>
        <w:ind w:firstLine="540"/>
        <w:jc w:val="both"/>
      </w:pPr>
      <w:r>
        <w:rPr>
          <w:sz w:val="20"/>
        </w:rPr>
        <w:t xml:space="preserve">bi17 - комплект оборудования, лицензионного ПО, услуг по созданию (модернизации) библиотечных пунктов;</w:t>
      </w:r>
    </w:p>
    <w:p>
      <w:pPr>
        <w:pStyle w:val="0"/>
        <w:spacing w:before="200" w:line-rule="auto"/>
        <w:ind w:firstLine="540"/>
        <w:jc w:val="both"/>
      </w:pPr>
      <w:r>
        <w:rPr>
          <w:sz w:val="20"/>
        </w:rPr>
        <w:t xml:space="preserve">bi18 - приобретение библиобуса.</w:t>
      </w:r>
    </w:p>
    <w:p>
      <w:pPr>
        <w:pStyle w:val="0"/>
        <w:spacing w:before="200" w:line-rule="auto"/>
        <w:ind w:firstLine="540"/>
        <w:jc w:val="both"/>
      </w:pPr>
      <w:r>
        <w:rPr>
          <w:sz w:val="20"/>
        </w:rPr>
        <w:t xml:space="preserve">16. Объем Субсидии на осуществление ремонтно-реставрационных работ памятников архитектуры и градостроительства определяется по формуле:</w:t>
      </w:r>
    </w:p>
    <w:p>
      <w:pPr>
        <w:pStyle w:val="0"/>
        <w:ind w:firstLine="540"/>
        <w:jc w:val="both"/>
      </w:pPr>
      <w:r>
        <w:rPr>
          <w:sz w:val="20"/>
        </w:rPr>
      </w:r>
    </w:p>
    <w:p>
      <w:pPr>
        <w:pStyle w:val="0"/>
        <w:jc w:val="center"/>
      </w:pPr>
      <w:r>
        <w:rPr>
          <w:position w:val="-35"/>
        </w:rPr>
        <w:drawing>
          <wp:inline distT="0" distB="0" distL="0" distR="0">
            <wp:extent cx="1371600" cy="581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Pr>
          <w:sz w:val="20"/>
        </w:rPr>
        <w:t xml:space="preserve"> - объем субсидии, установленный i-му муниципальному образованию автономного округа на софинансирование расходов на осуществление ремонтно-реставрационных работ памятников архитектуры и градостроительства, согласно подтверждению i-м муниципальным образованием автономного округа об освоении в полном объеме средств, предусмотренных на финансовый год, тыс. рублей;</w:t>
      </w:r>
    </w:p>
    <w:p>
      <w:pPr>
        <w:pStyle w:val="0"/>
        <w:spacing w:before="200" w:line-rule="auto"/>
        <w:ind w:firstLine="540"/>
        <w:jc w:val="both"/>
      </w:pPr>
      <w:r>
        <w:rPr>
          <w:sz w:val="20"/>
        </w:rPr>
        <w:t xml:space="preserve">i-е - муниципальное образование автономного округа;</w:t>
      </w:r>
    </w:p>
    <w:p>
      <w:pPr>
        <w:pStyle w:val="0"/>
        <w:spacing w:before="200" w:line-rule="auto"/>
        <w:ind w:firstLine="540"/>
        <w:jc w:val="both"/>
      </w:pPr>
      <w:r>
        <w:rPr>
          <w:sz w:val="20"/>
        </w:rPr>
        <w:t xml:space="preserve">Gz - общий объем субсидии на софинансирование расходов на осуществление ремонтно-реставрационных работ памятников архитектуры и градостроительства на финансовый год, тыс. рублей;</w:t>
      </w:r>
    </w:p>
    <w:p>
      <w:pPr>
        <w:pStyle w:val="0"/>
        <w:spacing w:before="200" w:line-rule="auto"/>
        <w:ind w:firstLine="540"/>
        <w:jc w:val="both"/>
      </w:pPr>
      <w:r>
        <w:rPr>
          <w:sz w:val="20"/>
        </w:rPr>
        <w:t xml:space="preserve">Рz - объем финансирования на финансовый год на осуществление ремонтно-реставрационных работ памятников архитектуры и градостроительства, в соответствии с научно-проектной документацией на осуществление ремонтно-реставрационных работ (тыс. рублей);</w:t>
      </w:r>
    </w:p>
    <w:p>
      <w:pPr>
        <w:pStyle w:val="0"/>
        <w:spacing w:before="200" w:line-rule="auto"/>
        <w:ind w:firstLine="540"/>
        <w:jc w:val="both"/>
      </w:pPr>
      <w:r>
        <w:rPr>
          <w:sz w:val="20"/>
        </w:rPr>
        <w:t xml:space="preserve">Gi - общая стоимость ремонтно-реставрационных работ памятников архитектуры и градостроительства, в соответствии с научно-проектной документацией на осуществление ремонтно-реставрационных работ (тыс. рублей);</w:t>
      </w:r>
    </w:p>
    <w:p>
      <w:pPr>
        <w:pStyle w:val="0"/>
        <w:spacing w:before="200" w:line-rule="auto"/>
        <w:ind w:firstLine="540"/>
        <w:jc w:val="both"/>
      </w:pPr>
      <w:r>
        <w:rPr>
          <w:sz w:val="20"/>
        </w:rPr>
        <w:t xml:space="preserve">d - доля субсидии на софинансирование за счет средств бюджета автономного округа, где d составляет 0,95;</w:t>
      </w:r>
    </w:p>
    <w:p>
      <w:pPr>
        <w:pStyle w:val="0"/>
        <w:spacing w:before="200" w:line-rule="auto"/>
        <w:ind w:firstLine="540"/>
        <w:jc w:val="both"/>
      </w:pPr>
      <w:r>
        <w:rPr>
          <w:sz w:val="20"/>
        </w:rPr>
        <w:t xml:space="preserve">kn - коэффициент сроков завершения работ для года, в котором предоставляется субсидия, по переходящим объектам: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80"/>
        <w:gridCol w:w="1431"/>
        <w:gridCol w:w="1550"/>
        <w:gridCol w:w="1587"/>
        <w:gridCol w:w="1550"/>
        <w:gridCol w:w="1474"/>
      </w:tblGrid>
      <w:tr>
        <w:tc>
          <w:tcPr>
            <w:tcW w:w="1480" w:type="dxa"/>
          </w:tcPr>
          <w:p>
            <w:pPr>
              <w:pStyle w:val="0"/>
            </w:pPr>
            <w:r>
              <w:rPr>
                <w:sz w:val="20"/>
              </w:rPr>
              <w:t xml:space="preserve">1 год</w:t>
            </w:r>
          </w:p>
        </w:tc>
        <w:tc>
          <w:tcPr>
            <w:gridSpan w:val="2"/>
            <w:tcW w:w="2981" w:type="dxa"/>
          </w:tcPr>
          <w:p>
            <w:pPr>
              <w:pStyle w:val="0"/>
              <w:jc w:val="center"/>
            </w:pPr>
            <w:r>
              <w:rPr>
                <w:sz w:val="20"/>
              </w:rPr>
              <w:t xml:space="preserve">2 года</w:t>
            </w:r>
          </w:p>
        </w:tc>
        <w:tc>
          <w:tcPr>
            <w:gridSpan w:val="3"/>
            <w:tcW w:w="4611" w:type="dxa"/>
          </w:tcPr>
          <w:p>
            <w:pPr>
              <w:pStyle w:val="0"/>
              <w:jc w:val="center"/>
            </w:pPr>
            <w:r>
              <w:rPr>
                <w:sz w:val="20"/>
              </w:rPr>
              <w:t xml:space="preserve">3 года</w:t>
            </w:r>
          </w:p>
        </w:tc>
      </w:tr>
      <w:tr>
        <w:tc>
          <w:tcPr>
            <w:tcW w:w="1480" w:type="dxa"/>
          </w:tcPr>
          <w:p>
            <w:pPr>
              <w:pStyle w:val="0"/>
              <w:jc w:val="center"/>
            </w:pPr>
            <w:r>
              <w:rPr>
                <w:sz w:val="20"/>
              </w:rPr>
              <w:t xml:space="preserve">kn1 = 1</w:t>
            </w:r>
          </w:p>
        </w:tc>
        <w:tc>
          <w:tcPr>
            <w:tcW w:w="1431" w:type="dxa"/>
          </w:tcPr>
          <w:p>
            <w:pPr>
              <w:pStyle w:val="0"/>
              <w:jc w:val="center"/>
            </w:pPr>
            <w:r>
              <w:rPr>
                <w:sz w:val="20"/>
              </w:rPr>
              <w:t xml:space="preserve">kn1 = 0,4</w:t>
            </w:r>
          </w:p>
        </w:tc>
        <w:tc>
          <w:tcPr>
            <w:tcW w:w="1550" w:type="dxa"/>
          </w:tcPr>
          <w:p>
            <w:pPr>
              <w:pStyle w:val="0"/>
              <w:jc w:val="center"/>
            </w:pPr>
            <w:r>
              <w:rPr>
                <w:sz w:val="20"/>
              </w:rPr>
              <w:t xml:space="preserve">kn2 = 0,6</w:t>
            </w:r>
          </w:p>
        </w:tc>
        <w:tc>
          <w:tcPr>
            <w:tcW w:w="1587" w:type="dxa"/>
          </w:tcPr>
          <w:p>
            <w:pPr>
              <w:pStyle w:val="0"/>
              <w:jc w:val="center"/>
            </w:pPr>
            <w:r>
              <w:rPr>
                <w:sz w:val="20"/>
              </w:rPr>
              <w:t xml:space="preserve">kn1 = 0,3</w:t>
            </w:r>
          </w:p>
        </w:tc>
        <w:tc>
          <w:tcPr>
            <w:tcW w:w="1550" w:type="dxa"/>
          </w:tcPr>
          <w:p>
            <w:pPr>
              <w:pStyle w:val="0"/>
              <w:jc w:val="center"/>
            </w:pPr>
            <w:r>
              <w:rPr>
                <w:sz w:val="20"/>
              </w:rPr>
              <w:t xml:space="preserve">kn2 = 0,3</w:t>
            </w:r>
          </w:p>
        </w:tc>
        <w:tc>
          <w:tcPr>
            <w:tcW w:w="1474" w:type="dxa"/>
          </w:tcPr>
          <w:p>
            <w:pPr>
              <w:pStyle w:val="0"/>
              <w:jc w:val="center"/>
            </w:pPr>
            <w:r>
              <w:rPr>
                <w:sz w:val="20"/>
              </w:rPr>
              <w:t xml:space="preserve">kn3 = 0,4</w:t>
            </w:r>
          </w:p>
        </w:tc>
      </w:tr>
    </w:tbl>
    <w:p>
      <w:pPr>
        <w:pStyle w:val="0"/>
        <w:ind w:firstLine="540"/>
        <w:jc w:val="both"/>
      </w:pPr>
      <w:r>
        <w:rPr>
          <w:sz w:val="20"/>
        </w:rPr>
      </w:r>
    </w:p>
    <w:p>
      <w:pPr>
        <w:pStyle w:val="0"/>
        <w:ind w:firstLine="540"/>
        <w:jc w:val="both"/>
      </w:pPr>
      <w:r>
        <w:rPr>
          <w:sz w:val="20"/>
        </w:rPr>
        <w:t xml:space="preserve">17.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приказом Департамента финансов автономного округа в государственной информационной системе автономного округа "Региональный электронный бюджет Югры".</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18. Соглашение должно содержать информацию, указанную в </w:t>
      </w:r>
      <w:hyperlink w:history="0" r:id="rId20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предоставления субсидий.</w:t>
      </w:r>
    </w:p>
    <w:p>
      <w:pPr>
        <w:pStyle w:val="0"/>
        <w:spacing w:before="200" w:line-rule="auto"/>
        <w:ind w:firstLine="540"/>
        <w:jc w:val="both"/>
      </w:pPr>
      <w:r>
        <w:rPr>
          <w:sz w:val="20"/>
        </w:rPr>
        <w:t xml:space="preserve">19.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20.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21.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20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22.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21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или результатов регионального проекта, а также в случае сокращения размера Субсидии.</w:t>
      </w:r>
    </w:p>
    <w:p>
      <w:pPr>
        <w:pStyle w:val="0"/>
        <w:spacing w:before="200" w:line-rule="auto"/>
        <w:ind w:firstLine="540"/>
        <w:jc w:val="both"/>
      </w:pPr>
      <w:r>
        <w:rPr>
          <w:sz w:val="20"/>
        </w:rPr>
        <w:t xml:space="preserve">23.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24. Результатом использования субсидии является достижение значение показателя "Число посещений культурных мероприятий", который устанавливается Соглашением.</w:t>
      </w:r>
    </w:p>
    <w:p>
      <w:pPr>
        <w:pStyle w:val="0"/>
        <w:spacing w:before="200" w:line-rule="auto"/>
        <w:ind w:firstLine="540"/>
        <w:jc w:val="both"/>
      </w:pPr>
      <w:r>
        <w:rPr>
          <w:sz w:val="20"/>
        </w:rPr>
        <w:t xml:space="preserve">Результатом использования субсидии на осуществление ремонтно-реставрационных работ памятников архитектуры и градостроительства является достижение значение показателя "Количество объектов культурного наследия, в отношении которых проведены ремонтно-реставрационные работы".</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25.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26.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21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27.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21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28.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29.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30.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w:history="0" r:id="rId21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21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21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2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31.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32.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21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21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33. В случае полного или частичного неперечисления сумм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34.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jc w:val="right"/>
      </w:pPr>
      <w:r>
        <w:rPr>
          <w:sz w:val="20"/>
        </w:rPr>
      </w:r>
    </w:p>
    <w:p>
      <w:pPr>
        <w:pStyle w:val="0"/>
        <w:outlineLvl w:val="1"/>
        <w:jc w:val="right"/>
      </w:pPr>
      <w:r>
        <w:rPr>
          <w:sz w:val="20"/>
        </w:rPr>
        <w:t xml:space="preserve">Таблица 1</w:t>
      </w:r>
    </w:p>
    <w:p>
      <w:pPr>
        <w:pStyle w:val="0"/>
        <w:jc w:val="right"/>
      </w:pPr>
      <w:r>
        <w:rPr>
          <w:sz w:val="20"/>
        </w:rPr>
      </w:r>
    </w:p>
    <w:bookmarkStart w:id="980" w:name="P980"/>
    <w:bookmarkEnd w:id="980"/>
    <w:p>
      <w:pPr>
        <w:pStyle w:val="2"/>
        <w:jc w:val="center"/>
      </w:pPr>
      <w:r>
        <w:rPr>
          <w:sz w:val="20"/>
        </w:rPr>
        <w:t xml:space="preserve">Перечень критериев отбора заявок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5329"/>
        <w:gridCol w:w="1474"/>
      </w:tblGrid>
      <w:tr>
        <w:tc>
          <w:tcPr>
            <w:tcW w:w="2268" w:type="dxa"/>
          </w:tcPr>
          <w:p>
            <w:pPr>
              <w:pStyle w:val="0"/>
              <w:jc w:val="center"/>
            </w:pPr>
            <w:r>
              <w:rPr>
                <w:sz w:val="20"/>
              </w:rPr>
              <w:t xml:space="preserve">Наименование приобретаемой услуги в составе мероприятия</w:t>
            </w:r>
          </w:p>
        </w:tc>
        <w:tc>
          <w:tcPr>
            <w:tcW w:w="5329" w:type="dxa"/>
          </w:tcPr>
          <w:p>
            <w:pPr>
              <w:pStyle w:val="0"/>
              <w:jc w:val="center"/>
            </w:pPr>
            <w:r>
              <w:rPr>
                <w:sz w:val="20"/>
              </w:rPr>
              <w:t xml:space="preserve">Критерии для финансирования муниципальных образований автономного округа в рамках мероприятия</w:t>
            </w:r>
          </w:p>
        </w:tc>
        <w:tc>
          <w:tcPr>
            <w:tcW w:w="1474" w:type="dxa"/>
          </w:tcPr>
          <w:p>
            <w:pPr>
              <w:pStyle w:val="0"/>
              <w:jc w:val="center"/>
            </w:pPr>
            <w:r>
              <w:rPr>
                <w:sz w:val="20"/>
              </w:rPr>
              <w:t xml:space="preserve">Показатель удельного веса критерия (десятые доли единицы)</w:t>
            </w:r>
          </w:p>
        </w:tc>
      </w:tr>
      <w:tr>
        <w:tc>
          <w:tcPr>
            <w:tcW w:w="2268" w:type="dxa"/>
          </w:tcPr>
          <w:p>
            <w:pPr>
              <w:pStyle w:val="0"/>
            </w:pPr>
            <w:r>
              <w:rPr>
                <w:sz w:val="20"/>
              </w:rPr>
              <w:t xml:space="preserve">Подписка (приобретение) периодических изданий</w:t>
            </w:r>
          </w:p>
        </w:tc>
        <w:tc>
          <w:tcPr>
            <w:tcW w:w="5329" w:type="dxa"/>
          </w:tcPr>
          <w:p>
            <w:pPr>
              <w:pStyle w:val="0"/>
            </w:pPr>
            <w:r>
              <w:rPr>
                <w:sz w:val="20"/>
              </w:rPr>
              <w:t xml:space="preserve">несоответствие Базовым нормам организации сети и ресурсного обеспечения общедоступных библиотек муниципальных образований (приняты Конференцией Российской библиотечной ассоциации, XII Ежегодная сессия, 16 мая 2007 года, г. Брянск) (далее - БН), а именно: объем фонда периодических изданий определяется из расчета не менее 20 названий изданий на библиотеку</w:t>
            </w:r>
          </w:p>
        </w:tc>
        <w:tc>
          <w:tcPr>
            <w:tcW w:w="1474" w:type="dxa"/>
          </w:tcPr>
          <w:p>
            <w:pPr>
              <w:pStyle w:val="0"/>
            </w:pPr>
            <w:r>
              <w:rPr>
                <w:sz w:val="20"/>
              </w:rPr>
              <w:t xml:space="preserve">1,0</w:t>
            </w:r>
          </w:p>
        </w:tc>
      </w:tr>
      <w:tr>
        <w:tc>
          <w:tcPr>
            <w:tcW w:w="2268" w:type="dxa"/>
            <w:vMerge w:val="restart"/>
          </w:tcPr>
          <w:p>
            <w:pPr>
              <w:pStyle w:val="0"/>
            </w:pPr>
            <w:r>
              <w:rPr>
                <w:sz w:val="20"/>
              </w:rPr>
              <w:t xml:space="preserve">Приобретение и установка специализированного оборудования для инвалидов</w:t>
            </w:r>
          </w:p>
        </w:tc>
        <w:tc>
          <w:tcPr>
            <w:tcW w:w="5329" w:type="dxa"/>
          </w:tcPr>
          <w:p>
            <w:pPr>
              <w:pStyle w:val="0"/>
            </w:pPr>
            <w:r>
              <w:rPr>
                <w:sz w:val="20"/>
              </w:rPr>
              <w:t xml:space="preserve">срок эксплуатации оборудования более 3 лет (более 30% действующего парка ПК)</w:t>
            </w:r>
          </w:p>
        </w:tc>
        <w:tc>
          <w:tcPr>
            <w:tcW w:w="1474" w:type="dxa"/>
          </w:tcPr>
          <w:p>
            <w:pPr>
              <w:pStyle w:val="0"/>
            </w:pPr>
            <w:r>
              <w:rPr>
                <w:sz w:val="20"/>
              </w:rPr>
              <w:t xml:space="preserve">0,7</w:t>
            </w:r>
          </w:p>
        </w:tc>
      </w:tr>
      <w:tr>
        <w:tc>
          <w:tcPr>
            <w:vMerge w:val="continue"/>
          </w:tcPr>
          <w:p/>
        </w:tc>
        <w:tc>
          <w:tcPr>
            <w:tcW w:w="5329" w:type="dxa"/>
          </w:tcPr>
          <w:p>
            <w:pPr>
              <w:pStyle w:val="0"/>
            </w:pPr>
            <w:r>
              <w:rPr>
                <w:sz w:val="20"/>
              </w:rPr>
              <w:t xml:space="preserve">несоответствие установленным МС нормам, а именно:</w:t>
            </w:r>
          </w:p>
        </w:tc>
        <w:tc>
          <w:tcPr>
            <w:tcW w:w="1474" w:type="dxa"/>
          </w:tcPr>
          <w:p>
            <w:pPr>
              <w:pStyle w:val="0"/>
            </w:pPr>
            <w:r>
              <w:rPr>
                <w:sz w:val="20"/>
              </w:rPr>
              <w:t xml:space="preserve">0,3, в т.ч.:</w:t>
            </w:r>
          </w:p>
        </w:tc>
      </w:tr>
      <w:tr>
        <w:tc>
          <w:tcPr>
            <w:vMerge w:val="continue"/>
          </w:tcPr>
          <w:p/>
        </w:tc>
        <w:tc>
          <w:tcPr>
            <w:tcW w:w="5329" w:type="dxa"/>
          </w:tcPr>
          <w:p>
            <w:pPr>
              <w:pStyle w:val="0"/>
            </w:pPr>
            <w:r>
              <w:rPr>
                <w:sz w:val="20"/>
              </w:rPr>
              <w:t xml:space="preserve">отсутствие сканера, программы экранного доступа, синтезатора речи, устройств речевого выхода для самостоятельного чтения текстов с экрана монитора, конверторов для обеспечения незрячим и слабовидящим пользователям доступа к электронным информационным ресурсам посредством компьютерных технологий, технических и программных средств, а именно: аппаратного и программного обеспечения, адаптированного для пользователей с полной или частичной потерей зрения</w:t>
            </w:r>
          </w:p>
        </w:tc>
        <w:tc>
          <w:tcPr>
            <w:tcW w:w="1474" w:type="dxa"/>
          </w:tcPr>
          <w:p>
            <w:pPr>
              <w:pStyle w:val="0"/>
            </w:pPr>
            <w:r>
              <w:rPr>
                <w:sz w:val="20"/>
              </w:rPr>
              <w:t xml:space="preserve">0,2</w:t>
            </w:r>
          </w:p>
        </w:tc>
      </w:tr>
      <w:tr>
        <w:tc>
          <w:tcPr>
            <w:vMerge w:val="continue"/>
          </w:tcPr>
          <w:p/>
        </w:tc>
        <w:tc>
          <w:tcPr>
            <w:tcW w:w="5329" w:type="dxa"/>
          </w:tcPr>
          <w:p>
            <w:pPr>
              <w:pStyle w:val="0"/>
            </w:pPr>
            <w:r>
              <w:rPr>
                <w:sz w:val="20"/>
              </w:rPr>
              <w:t xml:space="preserve">отсутствие программного обеспечения автоматизированных мест незрячих пользователей, которое должно быть адаптировано в соответствии с рекомендациями Консорциума Всемирной сети (C3W) для обеспечения доступности программного обеспечения слепым и слабовидящим</w:t>
            </w:r>
          </w:p>
        </w:tc>
        <w:tc>
          <w:tcPr>
            <w:tcW w:w="1474" w:type="dxa"/>
          </w:tcPr>
          <w:p>
            <w:pPr>
              <w:pStyle w:val="0"/>
            </w:pPr>
            <w:r>
              <w:rPr>
                <w:sz w:val="20"/>
              </w:rPr>
              <w:t xml:space="preserve">0,1</w:t>
            </w:r>
          </w:p>
        </w:tc>
      </w:tr>
      <w:tr>
        <w:tc>
          <w:tcPr>
            <w:tcW w:w="2268" w:type="dxa"/>
            <w:vMerge w:val="restart"/>
          </w:tcPr>
          <w:p>
            <w:pPr>
              <w:pStyle w:val="0"/>
            </w:pPr>
            <w:r>
              <w:rPr>
                <w:sz w:val="20"/>
              </w:rPr>
              <w:t xml:space="preserve">Создание новых ЦОД</w:t>
            </w:r>
          </w:p>
        </w:tc>
        <w:tc>
          <w:tcPr>
            <w:tcW w:w="5329" w:type="dxa"/>
          </w:tcPr>
          <w:p>
            <w:pPr>
              <w:pStyle w:val="0"/>
            </w:pPr>
            <w:r>
              <w:rPr>
                <w:sz w:val="20"/>
              </w:rPr>
              <w:t xml:space="preserve">наличие в составе помещения локальной зоны для размещения ЦОДа</w:t>
            </w:r>
          </w:p>
        </w:tc>
        <w:tc>
          <w:tcPr>
            <w:tcW w:w="1474" w:type="dxa"/>
          </w:tcPr>
          <w:p>
            <w:pPr>
              <w:pStyle w:val="0"/>
            </w:pPr>
            <w:r>
              <w:rPr>
                <w:sz w:val="20"/>
              </w:rPr>
              <w:t xml:space="preserve">0,4</w:t>
            </w:r>
          </w:p>
        </w:tc>
      </w:tr>
      <w:tr>
        <w:tc>
          <w:tcPr>
            <w:vMerge w:val="continue"/>
          </w:tcPr>
          <w:p/>
        </w:tc>
        <w:tc>
          <w:tcPr>
            <w:tcW w:w="5329" w:type="dxa"/>
          </w:tcPr>
          <w:p>
            <w:pPr>
              <w:pStyle w:val="0"/>
            </w:pPr>
            <w:r>
              <w:rPr>
                <w:sz w:val="20"/>
              </w:rPr>
              <w:t xml:space="preserve">наличие подключения к сети Интернет со скоростью не менее 10 Мбит/с</w:t>
            </w:r>
          </w:p>
        </w:tc>
        <w:tc>
          <w:tcPr>
            <w:tcW w:w="1474" w:type="dxa"/>
          </w:tcPr>
          <w:p>
            <w:pPr>
              <w:pStyle w:val="0"/>
            </w:pPr>
            <w:r>
              <w:rPr>
                <w:sz w:val="20"/>
              </w:rPr>
              <w:t xml:space="preserve">0,2</w:t>
            </w:r>
          </w:p>
        </w:tc>
      </w:tr>
      <w:tr>
        <w:tc>
          <w:tcPr>
            <w:vMerge w:val="continue"/>
          </w:tcPr>
          <w:p/>
        </w:tc>
        <w:tc>
          <w:tcPr>
            <w:tcW w:w="5329" w:type="dxa"/>
          </w:tcPr>
          <w:p>
            <w:pPr>
              <w:pStyle w:val="0"/>
            </w:pPr>
            <w:r>
              <w:rPr>
                <w:sz w:val="20"/>
              </w:rPr>
              <w:t xml:space="preserve">наличие утвержденного Плана мероприятий по обеспечению работы Центра общественного доступа к социально значимой информации</w:t>
            </w:r>
          </w:p>
        </w:tc>
        <w:tc>
          <w:tcPr>
            <w:tcW w:w="1474" w:type="dxa"/>
          </w:tcPr>
          <w:p>
            <w:pPr>
              <w:pStyle w:val="0"/>
            </w:pPr>
            <w:r>
              <w:rPr>
                <w:sz w:val="20"/>
              </w:rPr>
              <w:t xml:space="preserve">0,4</w:t>
            </w:r>
          </w:p>
        </w:tc>
      </w:tr>
      <w:tr>
        <w:tc>
          <w:tcPr>
            <w:tcW w:w="2268" w:type="dxa"/>
            <w:vMerge w:val="restart"/>
          </w:tcPr>
          <w:p>
            <w:pPr>
              <w:pStyle w:val="0"/>
            </w:pPr>
            <w:r>
              <w:rPr>
                <w:sz w:val="20"/>
              </w:rPr>
              <w:t xml:space="preserve">Модернизация ЦОД</w:t>
            </w:r>
          </w:p>
        </w:tc>
        <w:tc>
          <w:tcPr>
            <w:tcW w:w="5329" w:type="dxa"/>
          </w:tcPr>
          <w:p>
            <w:pPr>
              <w:pStyle w:val="0"/>
            </w:pPr>
            <w:r>
              <w:rPr>
                <w:sz w:val="20"/>
              </w:rPr>
              <w:t xml:space="preserve">наличие информационно-технологической инфраструктуры ЦОДа, нуждающейся в обновлении</w:t>
            </w:r>
          </w:p>
        </w:tc>
        <w:tc>
          <w:tcPr>
            <w:tcW w:w="1474" w:type="dxa"/>
          </w:tcPr>
          <w:p>
            <w:pPr>
              <w:pStyle w:val="0"/>
            </w:pPr>
            <w:r>
              <w:rPr>
                <w:sz w:val="20"/>
              </w:rPr>
              <w:t xml:space="preserve">0,4</w:t>
            </w:r>
          </w:p>
        </w:tc>
      </w:tr>
      <w:tr>
        <w:tc>
          <w:tcPr>
            <w:vMerge w:val="continue"/>
          </w:tcPr>
          <w:p/>
        </w:tc>
        <w:tc>
          <w:tcPr>
            <w:tcW w:w="5329" w:type="dxa"/>
          </w:tcPr>
          <w:p>
            <w:pPr>
              <w:pStyle w:val="0"/>
            </w:pPr>
            <w:r>
              <w:rPr>
                <w:sz w:val="20"/>
              </w:rPr>
              <w:t xml:space="preserve">наличие подключения к сети Интернет со скоростью не менее 10 Мбит/с</w:t>
            </w:r>
          </w:p>
        </w:tc>
        <w:tc>
          <w:tcPr>
            <w:tcW w:w="1474" w:type="dxa"/>
          </w:tcPr>
          <w:p>
            <w:pPr>
              <w:pStyle w:val="0"/>
            </w:pPr>
            <w:r>
              <w:rPr>
                <w:sz w:val="20"/>
              </w:rPr>
              <w:t xml:space="preserve">0,2</w:t>
            </w:r>
          </w:p>
        </w:tc>
      </w:tr>
      <w:tr>
        <w:tc>
          <w:tcPr>
            <w:vMerge w:val="continue"/>
          </w:tcPr>
          <w:p/>
        </w:tc>
        <w:tc>
          <w:tcPr>
            <w:tcW w:w="5329" w:type="dxa"/>
          </w:tcPr>
          <w:p>
            <w:pPr>
              <w:pStyle w:val="0"/>
            </w:pPr>
            <w:r>
              <w:rPr>
                <w:sz w:val="20"/>
              </w:rPr>
              <w:t xml:space="preserve">наличие утвержденного Плана мероприятий по обеспечению работы Центра общественного доступа к социально значимой информации</w:t>
            </w:r>
          </w:p>
        </w:tc>
        <w:tc>
          <w:tcPr>
            <w:tcW w:w="1474" w:type="dxa"/>
          </w:tcPr>
          <w:p>
            <w:pPr>
              <w:pStyle w:val="0"/>
            </w:pPr>
            <w:r>
              <w:rPr>
                <w:sz w:val="20"/>
              </w:rPr>
              <w:t xml:space="preserve">0,4</w:t>
            </w:r>
          </w:p>
        </w:tc>
      </w:tr>
      <w:tr>
        <w:tc>
          <w:tcPr>
            <w:tcW w:w="2268" w:type="dxa"/>
            <w:vMerge w:val="restart"/>
          </w:tcPr>
          <w:p>
            <w:pPr>
              <w:pStyle w:val="0"/>
            </w:pPr>
            <w:r>
              <w:rPr>
                <w:sz w:val="20"/>
              </w:rPr>
              <w:t xml:space="preserve">Автоматизация библиотек, приобретение АРМ, модернизация парка ПК, ПО, периферийного и мультимедийного оборудования, проведение ЛВС</w:t>
            </w:r>
          </w:p>
        </w:tc>
        <w:tc>
          <w:tcPr>
            <w:tcW w:w="5329" w:type="dxa"/>
          </w:tcPr>
          <w:p>
            <w:pPr>
              <w:pStyle w:val="0"/>
            </w:pPr>
            <w:r>
              <w:rPr>
                <w:sz w:val="20"/>
              </w:rPr>
              <w:t xml:space="preserve">срок эксплуатации оборудования не более срока, установленного производителем (более 30% действующего парка ПК)</w:t>
            </w:r>
          </w:p>
        </w:tc>
        <w:tc>
          <w:tcPr>
            <w:tcW w:w="1474" w:type="dxa"/>
          </w:tcPr>
          <w:p>
            <w:pPr>
              <w:pStyle w:val="0"/>
            </w:pPr>
            <w:r>
              <w:rPr>
                <w:sz w:val="20"/>
              </w:rPr>
              <w:t xml:space="preserve">0,4</w:t>
            </w:r>
          </w:p>
        </w:tc>
      </w:tr>
      <w:tr>
        <w:tc>
          <w:tcPr>
            <w:vMerge w:val="continue"/>
          </w:tcPr>
          <w:p/>
        </w:tc>
        <w:tc>
          <w:tcPr>
            <w:tcW w:w="5329" w:type="dxa"/>
          </w:tcPr>
          <w:p>
            <w:pPr>
              <w:pStyle w:val="0"/>
            </w:pPr>
            <w:r>
              <w:rPr>
                <w:sz w:val="20"/>
              </w:rPr>
              <w:t xml:space="preserve">несоответствие пункту 2.3 БН</w:t>
            </w:r>
          </w:p>
        </w:tc>
        <w:tc>
          <w:tcPr>
            <w:tcW w:w="1474" w:type="dxa"/>
          </w:tcPr>
          <w:p>
            <w:pPr>
              <w:pStyle w:val="0"/>
            </w:pPr>
            <w:r>
              <w:rPr>
                <w:sz w:val="20"/>
              </w:rPr>
              <w:t xml:space="preserve">0,6</w:t>
            </w:r>
          </w:p>
        </w:tc>
      </w:tr>
      <w:tr>
        <w:tc>
          <w:tcPr>
            <w:tcW w:w="2268" w:type="dxa"/>
            <w:vMerge w:val="restart"/>
          </w:tcPr>
          <w:p>
            <w:pPr>
              <w:pStyle w:val="0"/>
            </w:pPr>
            <w:r>
              <w:rPr>
                <w:sz w:val="20"/>
              </w:rPr>
              <w:t xml:space="preserve">Приобретение библиобусов</w:t>
            </w:r>
          </w:p>
        </w:tc>
        <w:tc>
          <w:tcPr>
            <w:tcW w:w="5329" w:type="dxa"/>
          </w:tcPr>
          <w:p>
            <w:pPr>
              <w:pStyle w:val="0"/>
            </w:pPr>
            <w:r>
              <w:rPr>
                <w:sz w:val="20"/>
              </w:rPr>
              <w:t xml:space="preserve">наличие в муниципальном районе населенных пунктов, в которых население не получает библиотечных услуг</w:t>
            </w:r>
          </w:p>
        </w:tc>
        <w:tc>
          <w:tcPr>
            <w:tcW w:w="1474" w:type="dxa"/>
          </w:tcPr>
          <w:p>
            <w:pPr>
              <w:pStyle w:val="0"/>
            </w:pPr>
            <w:r>
              <w:rPr>
                <w:sz w:val="20"/>
              </w:rPr>
              <w:t xml:space="preserve">0,7</w:t>
            </w:r>
          </w:p>
        </w:tc>
      </w:tr>
      <w:tr>
        <w:tc>
          <w:tcPr>
            <w:vMerge w:val="continue"/>
          </w:tcPr>
          <w:p/>
        </w:tc>
        <w:tc>
          <w:tcPr>
            <w:tcW w:w="5329" w:type="dxa"/>
          </w:tcPr>
          <w:p>
            <w:pPr>
              <w:pStyle w:val="0"/>
            </w:pPr>
            <w:r>
              <w:rPr>
                <w:sz w:val="20"/>
              </w:rPr>
              <w:t xml:space="preserve">удовлетворительная автотранспортная доступность населенных пунктов (для муниципальных районов) - круглогодичная доступность не менее 75% от общего числа населенных пунктов</w:t>
            </w:r>
          </w:p>
        </w:tc>
        <w:tc>
          <w:tcPr>
            <w:tcW w:w="1474" w:type="dxa"/>
          </w:tcPr>
          <w:p>
            <w:pPr>
              <w:pStyle w:val="0"/>
            </w:pPr>
            <w:r>
              <w:rPr>
                <w:sz w:val="20"/>
              </w:rPr>
              <w:t xml:space="preserve">0,3</w:t>
            </w:r>
          </w:p>
        </w:tc>
      </w:tr>
      <w:tr>
        <w:tc>
          <w:tcPr>
            <w:tcW w:w="2268" w:type="dxa"/>
            <w:vMerge w:val="restart"/>
          </w:tcPr>
          <w:p>
            <w:pPr>
              <w:pStyle w:val="0"/>
            </w:pPr>
            <w:r>
              <w:rPr>
                <w:sz w:val="20"/>
              </w:rPr>
              <w:t xml:space="preserve">Модернизация межпоселенческих библиотек, расположенных в сельской местности</w:t>
            </w:r>
          </w:p>
        </w:tc>
        <w:tc>
          <w:tcPr>
            <w:tcW w:w="5329" w:type="dxa"/>
          </w:tcPr>
          <w:p>
            <w:pPr>
              <w:pStyle w:val="0"/>
            </w:pPr>
            <w:r>
              <w:rPr>
                <w:sz w:val="20"/>
              </w:rPr>
              <w:t xml:space="preserve">несоответствие библиотеки нормативам минимального ресурсного обеспечения услуг сельских общедоступных библиотек, утвержденным приказом Министерства культуры и массовых коммуникаций Российской Федерации от 20 февраля 2008 года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tc>
        <w:tc>
          <w:tcPr>
            <w:tcW w:w="1474" w:type="dxa"/>
          </w:tcPr>
          <w:p>
            <w:pPr>
              <w:pStyle w:val="0"/>
            </w:pPr>
            <w:r>
              <w:rPr>
                <w:sz w:val="20"/>
              </w:rPr>
              <w:t xml:space="preserve">0,3</w:t>
            </w:r>
          </w:p>
        </w:tc>
      </w:tr>
      <w:tr>
        <w:tc>
          <w:tcPr>
            <w:vMerge w:val="continue"/>
          </w:tcPr>
          <w:p/>
        </w:tc>
        <w:tc>
          <w:tcPr>
            <w:tcW w:w="5329" w:type="dxa"/>
          </w:tcPr>
          <w:p>
            <w:pPr>
              <w:pStyle w:val="0"/>
            </w:pPr>
            <w:r>
              <w:rPr>
                <w:sz w:val="20"/>
              </w:rPr>
              <w:t xml:space="preserve">наличие решения муниципального образования о модернизации библиотеки на основании оценки состояния материально-технических, информационных, кадровых ресурсов и затрат на модернизацию</w:t>
            </w:r>
          </w:p>
        </w:tc>
        <w:tc>
          <w:tcPr>
            <w:tcW w:w="1474" w:type="dxa"/>
          </w:tcPr>
          <w:p>
            <w:pPr>
              <w:pStyle w:val="0"/>
            </w:pPr>
            <w:r>
              <w:rPr>
                <w:sz w:val="20"/>
              </w:rPr>
              <w:t xml:space="preserve">0,4</w:t>
            </w:r>
          </w:p>
        </w:tc>
      </w:tr>
      <w:tr>
        <w:tc>
          <w:tcPr>
            <w:vMerge w:val="continue"/>
          </w:tcPr>
          <w:p/>
        </w:tc>
        <w:tc>
          <w:tcPr>
            <w:tcW w:w="5329" w:type="dxa"/>
          </w:tcPr>
          <w:p>
            <w:pPr>
              <w:pStyle w:val="0"/>
            </w:pPr>
            <w:r>
              <w:rPr>
                <w:sz w:val="20"/>
              </w:rPr>
              <w:t xml:space="preserve">наличие утвержденного плана мероприятий по развитию сельских библиотек муниципального образования</w:t>
            </w:r>
          </w:p>
        </w:tc>
        <w:tc>
          <w:tcPr>
            <w:tcW w:w="1474" w:type="dxa"/>
          </w:tcPr>
          <w:p>
            <w:pPr>
              <w:pStyle w:val="0"/>
            </w:pPr>
            <w:r>
              <w:rPr>
                <w:sz w:val="20"/>
              </w:rPr>
              <w:t xml:space="preserve">0,3</w:t>
            </w:r>
          </w:p>
        </w:tc>
      </w:tr>
      <w:tr>
        <w:tc>
          <w:tcPr>
            <w:tcW w:w="2268" w:type="dxa"/>
            <w:vMerge w:val="restart"/>
          </w:tcPr>
          <w:p>
            <w:pPr>
              <w:pStyle w:val="0"/>
            </w:pPr>
            <w:r>
              <w:rPr>
                <w:sz w:val="20"/>
              </w:rPr>
              <w:t xml:space="preserve">Модернизация библиотек сельских поселений</w:t>
            </w:r>
          </w:p>
        </w:tc>
        <w:tc>
          <w:tcPr>
            <w:tcW w:w="5329" w:type="dxa"/>
          </w:tcPr>
          <w:p>
            <w:pPr>
              <w:pStyle w:val="0"/>
            </w:pPr>
            <w:r>
              <w:rPr>
                <w:sz w:val="20"/>
              </w:rPr>
              <w:t xml:space="preserve">несоответствие библиотеки нормативам минимального ресурсного обеспечения услуг сельских общедоступных библиотек, утвержденным приказом Министерства культуры Российской Федерации от 20 февраля 2008 года N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tc>
        <w:tc>
          <w:tcPr>
            <w:tcW w:w="1474" w:type="dxa"/>
          </w:tcPr>
          <w:p>
            <w:pPr>
              <w:pStyle w:val="0"/>
            </w:pPr>
            <w:r>
              <w:rPr>
                <w:sz w:val="20"/>
              </w:rPr>
              <w:t xml:space="preserve">0,3</w:t>
            </w:r>
          </w:p>
        </w:tc>
      </w:tr>
      <w:tr>
        <w:tc>
          <w:tcPr>
            <w:vMerge w:val="continue"/>
          </w:tcPr>
          <w:p/>
        </w:tc>
        <w:tc>
          <w:tcPr>
            <w:tcW w:w="5329" w:type="dxa"/>
          </w:tcPr>
          <w:p>
            <w:pPr>
              <w:pStyle w:val="0"/>
            </w:pPr>
            <w:r>
              <w:rPr>
                <w:sz w:val="20"/>
              </w:rPr>
              <w:t xml:space="preserve">наличие решения муниципального образования о модернизации библиотеки на основании оценки состояния материально-технических, информационных, кадровых ресурсов и затрат на модернизацию</w:t>
            </w:r>
          </w:p>
        </w:tc>
        <w:tc>
          <w:tcPr>
            <w:tcW w:w="1474" w:type="dxa"/>
          </w:tcPr>
          <w:p>
            <w:pPr>
              <w:pStyle w:val="0"/>
            </w:pPr>
            <w:r>
              <w:rPr>
                <w:sz w:val="20"/>
              </w:rPr>
              <w:t xml:space="preserve">0,4</w:t>
            </w:r>
          </w:p>
        </w:tc>
      </w:tr>
      <w:tr>
        <w:tc>
          <w:tcPr>
            <w:vMerge w:val="continue"/>
          </w:tcPr>
          <w:p/>
        </w:tc>
        <w:tc>
          <w:tcPr>
            <w:tcW w:w="5329" w:type="dxa"/>
          </w:tcPr>
          <w:p>
            <w:pPr>
              <w:pStyle w:val="0"/>
            </w:pPr>
            <w:r>
              <w:rPr>
                <w:sz w:val="20"/>
              </w:rPr>
              <w:t xml:space="preserve">наличие утвержденного плана мероприятий по развитию сельских библиотек муниципального образования</w:t>
            </w:r>
          </w:p>
        </w:tc>
        <w:tc>
          <w:tcPr>
            <w:tcW w:w="1474" w:type="dxa"/>
          </w:tcPr>
          <w:p>
            <w:pPr>
              <w:pStyle w:val="0"/>
            </w:pPr>
            <w:r>
              <w:rPr>
                <w:sz w:val="20"/>
              </w:rPr>
              <w:t xml:space="preserve">0,3</w:t>
            </w:r>
          </w:p>
        </w:tc>
      </w:tr>
      <w:tr>
        <w:tc>
          <w:tcPr>
            <w:tcW w:w="2268" w:type="dxa"/>
            <w:tcBorders>
              <w:bottom w:val="nil"/>
            </w:tcBorders>
            <w:vMerge w:val="restart"/>
          </w:tcPr>
          <w:p>
            <w:pPr>
              <w:pStyle w:val="0"/>
            </w:pPr>
            <w:r>
              <w:rPr>
                <w:sz w:val="20"/>
              </w:rPr>
              <w:t xml:space="preserve">Модернизация детских библиотек</w:t>
            </w:r>
          </w:p>
        </w:tc>
        <w:tc>
          <w:tcPr>
            <w:tcW w:w="5329" w:type="dxa"/>
          </w:tcPr>
          <w:p>
            <w:pPr>
              <w:pStyle w:val="0"/>
            </w:pPr>
            <w:r>
              <w:rPr>
                <w:sz w:val="20"/>
              </w:rPr>
              <w:t xml:space="preserve">несоответствие требованиям к условиям обслуживания детей и юношества, установленным Модельным стандартом деятельности общедоступной библиотеки</w:t>
            </w:r>
          </w:p>
        </w:tc>
        <w:tc>
          <w:tcPr>
            <w:tcW w:w="1474" w:type="dxa"/>
          </w:tcPr>
          <w:p>
            <w:pPr>
              <w:pStyle w:val="0"/>
            </w:pPr>
            <w:r>
              <w:rPr>
                <w:sz w:val="20"/>
              </w:rPr>
              <w:t xml:space="preserve">0,3</w:t>
            </w:r>
          </w:p>
        </w:tc>
      </w:tr>
      <w:tr>
        <w:tc>
          <w:tcPr>
            <w:tcBorders>
              <w:bottom w:val="nil"/>
            </w:tcBorders>
            <w:vMerge w:val="continue"/>
          </w:tcPr>
          <w:p/>
        </w:tc>
        <w:tc>
          <w:tcPr>
            <w:tcW w:w="5329" w:type="dxa"/>
          </w:tcPr>
          <w:p>
            <w:pPr>
              <w:pStyle w:val="0"/>
            </w:pPr>
            <w:r>
              <w:rPr>
                <w:sz w:val="20"/>
              </w:rPr>
              <w:t xml:space="preserve">наличие решения муниципального образования о модернизации детской библиотеки на основании оценки состояния материально-технических, информационных, кадровых ресурсов и затрат на модернизацию</w:t>
            </w:r>
          </w:p>
        </w:tc>
        <w:tc>
          <w:tcPr>
            <w:tcW w:w="1474" w:type="dxa"/>
          </w:tcPr>
          <w:p>
            <w:pPr>
              <w:pStyle w:val="0"/>
            </w:pPr>
            <w:r>
              <w:rPr>
                <w:sz w:val="20"/>
              </w:rPr>
              <w:t xml:space="preserve">0,4</w:t>
            </w:r>
          </w:p>
        </w:tc>
      </w:tr>
      <w:tr>
        <w:tblPrEx>
          <w:tblBorders>
            <w:insideH w:val="nil"/>
          </w:tblBorders>
        </w:tblPrEx>
        <w:tc>
          <w:tcPr>
            <w:tcBorders>
              <w:bottom w:val="nil"/>
            </w:tcBorders>
            <w:vMerge w:val="continue"/>
          </w:tcPr>
          <w:p/>
        </w:tc>
        <w:tc>
          <w:tcPr>
            <w:tcW w:w="5329" w:type="dxa"/>
            <w:tcBorders>
              <w:bottom w:val="nil"/>
            </w:tcBorders>
          </w:tcPr>
          <w:p>
            <w:pPr>
              <w:pStyle w:val="0"/>
            </w:pPr>
            <w:r>
              <w:rPr>
                <w:sz w:val="20"/>
              </w:rPr>
              <w:t xml:space="preserve">наличие утвержденного плана мероприятий по развитию детских библиотек муниципального образования</w:t>
            </w:r>
          </w:p>
        </w:tc>
        <w:tc>
          <w:tcPr>
            <w:tcW w:w="1474" w:type="dxa"/>
            <w:tcBorders>
              <w:bottom w:val="nil"/>
            </w:tcBorders>
          </w:tcPr>
          <w:p>
            <w:pPr>
              <w:pStyle w:val="0"/>
            </w:pPr>
            <w:r>
              <w:rPr>
                <w:sz w:val="20"/>
              </w:rPr>
              <w:t xml:space="preserve">0,3</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18"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tc>
      </w:tr>
      <w:tr>
        <w:tc>
          <w:tcPr>
            <w:tcW w:w="2268" w:type="dxa"/>
            <w:tcBorders>
              <w:bottom w:val="nil"/>
            </w:tcBorders>
            <w:vMerge w:val="restart"/>
          </w:tcPr>
          <w:p>
            <w:pPr>
              <w:pStyle w:val="0"/>
            </w:pPr>
            <w:r>
              <w:rPr>
                <w:sz w:val="20"/>
              </w:rPr>
              <w:t xml:space="preserve">Создание (модернизация) детских зон обслуживания</w:t>
            </w:r>
          </w:p>
        </w:tc>
        <w:tc>
          <w:tcPr>
            <w:tcW w:w="5329" w:type="dxa"/>
          </w:tcPr>
          <w:p>
            <w:pPr>
              <w:pStyle w:val="0"/>
            </w:pPr>
            <w:r>
              <w:rPr>
                <w:sz w:val="20"/>
              </w:rPr>
              <w:t xml:space="preserve">несоответствие требованиям к условиям обслуживания детей и юношества, установленным Модельным стандартом деятельности общедоступной библиотеки</w:t>
            </w:r>
          </w:p>
        </w:tc>
        <w:tc>
          <w:tcPr>
            <w:tcW w:w="1474" w:type="dxa"/>
          </w:tcPr>
          <w:p>
            <w:pPr>
              <w:pStyle w:val="0"/>
            </w:pPr>
            <w:r>
              <w:rPr>
                <w:sz w:val="20"/>
              </w:rPr>
              <w:t xml:space="preserve">0,4</w:t>
            </w:r>
          </w:p>
        </w:tc>
      </w:tr>
      <w:tr>
        <w:tblPrEx>
          <w:tblBorders>
            <w:insideH w:val="nil"/>
          </w:tblBorders>
        </w:tblPrEx>
        <w:tc>
          <w:tcPr>
            <w:tcBorders>
              <w:bottom w:val="nil"/>
            </w:tcBorders>
            <w:vMerge w:val="continue"/>
          </w:tcPr>
          <w:p/>
        </w:tc>
        <w:tc>
          <w:tcPr>
            <w:tcW w:w="5329" w:type="dxa"/>
            <w:tcBorders>
              <w:bottom w:val="nil"/>
            </w:tcBorders>
          </w:tcPr>
          <w:p>
            <w:pPr>
              <w:pStyle w:val="0"/>
            </w:pPr>
            <w:r>
              <w:rPr>
                <w:sz w:val="20"/>
              </w:rPr>
              <w:t xml:space="preserve">несоответствие помещений требованиям Федерального </w:t>
            </w:r>
            <w:hyperlink w:history="0" r:id="rId219"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закона</w:t>
              </w:r>
            </w:hyperlink>
            <w:r>
              <w:rPr>
                <w:sz w:val="20"/>
              </w:rPr>
              <w:t xml:space="preserve"> от 29 декабря 2010 года N 436-ФЗ "О защите детей от информации, причиняющей вред их здоровью и развитию"</w:t>
            </w:r>
          </w:p>
        </w:tc>
        <w:tc>
          <w:tcPr>
            <w:tcW w:w="1474" w:type="dxa"/>
            <w:tcBorders>
              <w:bottom w:val="nil"/>
            </w:tcBorders>
          </w:tcPr>
          <w:p>
            <w:pPr>
              <w:pStyle w:val="0"/>
            </w:pPr>
            <w:r>
              <w:rPr>
                <w:sz w:val="20"/>
              </w:rPr>
              <w:t xml:space="preserve">0,6</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20"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tc>
      </w:tr>
      <w:tr>
        <w:tc>
          <w:tcPr>
            <w:tcW w:w="2268" w:type="dxa"/>
            <w:vMerge w:val="restart"/>
          </w:tcPr>
          <w:p>
            <w:pPr>
              <w:pStyle w:val="0"/>
            </w:pPr>
            <w:r>
              <w:rPr>
                <w:sz w:val="20"/>
              </w:rPr>
              <w:t xml:space="preserve">Создание (модернизация) библиотечных пунктов</w:t>
            </w:r>
          </w:p>
        </w:tc>
        <w:tc>
          <w:tcPr>
            <w:tcW w:w="5329" w:type="dxa"/>
          </w:tcPr>
          <w:p>
            <w:pPr>
              <w:pStyle w:val="0"/>
            </w:pPr>
            <w:r>
              <w:rPr>
                <w:sz w:val="20"/>
              </w:rPr>
              <w:t xml:space="preserve">необеспечение требования доступности библиотеки: транспортной - в муниципальном районе - 30 - 40 минут, в городском округе - 30 минут - 1 час; шаговой - в городском (сельском) поселении - 15 - 30 минут, транспортной - 15 - 30 минут в соответствии с </w:t>
            </w:r>
            <w:hyperlink w:history="0" r:id="rId221"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распоряжением</w:t>
              </w:r>
            </w:hyperlink>
            <w:r>
              <w:rPr>
                <w:sz w:val="20"/>
              </w:rPr>
              <w:t xml:space="preserve"> Министерства культуры России от 2 августа 2017 года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1474" w:type="dxa"/>
          </w:tcPr>
          <w:p>
            <w:pPr>
              <w:pStyle w:val="0"/>
            </w:pPr>
            <w:r>
              <w:rPr>
                <w:sz w:val="20"/>
              </w:rPr>
              <w:t xml:space="preserve">0,3</w:t>
            </w:r>
          </w:p>
        </w:tc>
      </w:tr>
      <w:tr>
        <w:tc>
          <w:tcPr>
            <w:vMerge w:val="continue"/>
          </w:tcPr>
          <w:p/>
        </w:tc>
        <w:tc>
          <w:tcPr>
            <w:tcW w:w="5329" w:type="dxa"/>
          </w:tcPr>
          <w:p>
            <w:pPr>
              <w:pStyle w:val="0"/>
            </w:pPr>
            <w:r>
              <w:rPr>
                <w:sz w:val="20"/>
              </w:rPr>
              <w:t xml:space="preserve">наличие решения муниципального образования о модернизации (создании) библиотечных пунктов на основании оценки состояния материально-технических, информационных, кадровых ресурсов и затрат на модернизацию</w:t>
            </w:r>
          </w:p>
        </w:tc>
        <w:tc>
          <w:tcPr>
            <w:tcW w:w="1474" w:type="dxa"/>
          </w:tcPr>
          <w:p>
            <w:pPr>
              <w:pStyle w:val="0"/>
            </w:pPr>
            <w:r>
              <w:rPr>
                <w:sz w:val="20"/>
              </w:rPr>
              <w:t xml:space="preserve">0,4</w:t>
            </w:r>
          </w:p>
        </w:tc>
      </w:tr>
      <w:tr>
        <w:tc>
          <w:tcPr>
            <w:tcW w:w="2268" w:type="dxa"/>
            <w:vMerge w:val="restart"/>
          </w:tcPr>
          <w:p>
            <w:pPr>
              <w:pStyle w:val="0"/>
            </w:pPr>
            <w:r>
              <w:rPr>
                <w:sz w:val="20"/>
              </w:rPr>
              <w:t xml:space="preserve">Поэтапная автоматизация внутрибиблиотечных процессов и процессов обслуживания пользователей</w:t>
            </w:r>
          </w:p>
        </w:tc>
        <w:tc>
          <w:tcPr>
            <w:tcW w:w="5329" w:type="dxa"/>
          </w:tcPr>
          <w:p>
            <w:pPr>
              <w:pStyle w:val="0"/>
            </w:pPr>
            <w:r>
              <w:rPr>
                <w:sz w:val="20"/>
              </w:rPr>
              <w:t xml:space="preserve">наличие информационно-технологической инфраструктуры в библиотеке (АРМ, ЛВС, периферийное оборудование и др.) не менее чем 75% от нормативного количества</w:t>
            </w:r>
          </w:p>
        </w:tc>
        <w:tc>
          <w:tcPr>
            <w:tcW w:w="1474" w:type="dxa"/>
          </w:tcPr>
          <w:p>
            <w:pPr>
              <w:pStyle w:val="0"/>
            </w:pPr>
            <w:r>
              <w:rPr>
                <w:sz w:val="20"/>
              </w:rPr>
              <w:t xml:space="preserve">0,4</w:t>
            </w:r>
          </w:p>
        </w:tc>
      </w:tr>
      <w:tr>
        <w:tc>
          <w:tcPr>
            <w:vMerge w:val="continue"/>
          </w:tcPr>
          <w:p/>
        </w:tc>
        <w:tc>
          <w:tcPr>
            <w:tcW w:w="5329" w:type="dxa"/>
          </w:tcPr>
          <w:p>
            <w:pPr>
              <w:pStyle w:val="0"/>
            </w:pPr>
            <w:r>
              <w:rPr>
                <w:sz w:val="20"/>
              </w:rPr>
              <w:t xml:space="preserve">несоответствие библиотеки муниципального образования установленным МС нормам, а именно: отсутствие автоматизации всех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 библиотечного обслуживания, информационного обеспечения читателей, управления библиотекой (библиотечной системой)</w:t>
            </w:r>
          </w:p>
        </w:tc>
        <w:tc>
          <w:tcPr>
            <w:tcW w:w="1474" w:type="dxa"/>
          </w:tcPr>
          <w:p>
            <w:pPr>
              <w:pStyle w:val="0"/>
            </w:pPr>
            <w:r>
              <w:rPr>
                <w:sz w:val="20"/>
              </w:rPr>
              <w:t xml:space="preserve">0,6</w:t>
            </w:r>
          </w:p>
        </w:tc>
      </w:tr>
      <w:tr>
        <w:tc>
          <w:tcPr>
            <w:tcW w:w="2268" w:type="dxa"/>
            <w:vMerge w:val="restart"/>
          </w:tcPr>
          <w:p>
            <w:pPr>
              <w:pStyle w:val="0"/>
            </w:pPr>
            <w:r>
              <w:rPr>
                <w:sz w:val="20"/>
              </w:rPr>
              <w:t xml:space="preserve">Участие в создании сводных библиотечно-информационных ресурсов автономного округа</w:t>
            </w:r>
          </w:p>
        </w:tc>
        <w:tc>
          <w:tcPr>
            <w:tcW w:w="5329" w:type="dxa"/>
          </w:tcPr>
          <w:p>
            <w:pPr>
              <w:pStyle w:val="0"/>
            </w:pPr>
            <w:r>
              <w:rPr>
                <w:sz w:val="20"/>
              </w:rPr>
              <w:t xml:space="preserve">несоответствие библиотеки муниципального образования установленным МС нормам, а именно: отсутствие информатизации публичной библиотеки, включая участие в корпоративных проектах, в создании единых информационных сетей (региональных, межрегиональных, федеральных, международных), в т.ч. отсутствие взаимодействия с библиотеками разных ведомств, с учреждениями культуры, образования, информационными центрами и другими организациями</w:t>
            </w:r>
          </w:p>
        </w:tc>
        <w:tc>
          <w:tcPr>
            <w:tcW w:w="1474" w:type="dxa"/>
          </w:tcPr>
          <w:p>
            <w:pPr>
              <w:pStyle w:val="0"/>
            </w:pPr>
            <w:r>
              <w:rPr>
                <w:sz w:val="20"/>
              </w:rPr>
              <w:t xml:space="preserve">0,5</w:t>
            </w:r>
          </w:p>
        </w:tc>
      </w:tr>
      <w:tr>
        <w:tc>
          <w:tcPr>
            <w:vMerge w:val="continue"/>
          </w:tcPr>
          <w:p/>
        </w:tc>
        <w:tc>
          <w:tcPr>
            <w:tcW w:w="5329" w:type="dxa"/>
          </w:tcPr>
          <w:p>
            <w:pPr>
              <w:pStyle w:val="0"/>
            </w:pPr>
            <w:r>
              <w:rPr>
                <w:sz w:val="20"/>
              </w:rPr>
              <w:t xml:space="preserve">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pPr>
              <w:pStyle w:val="0"/>
            </w:pPr>
            <w:r>
              <w:rPr>
                <w:sz w:val="20"/>
              </w:rPr>
              <w:t xml:space="preserve">0,5</w:t>
            </w:r>
          </w:p>
        </w:tc>
      </w:tr>
      <w:tr>
        <w:tc>
          <w:tcPr>
            <w:tcW w:w="2268" w:type="dxa"/>
            <w:vMerge w:val="restart"/>
          </w:tcPr>
          <w:p>
            <w:pPr>
              <w:pStyle w:val="0"/>
            </w:pPr>
            <w:r>
              <w:rPr>
                <w:sz w:val="20"/>
              </w:rPr>
              <w:t xml:space="preserve">Обновление электронных баз данных</w:t>
            </w:r>
          </w:p>
        </w:tc>
        <w:tc>
          <w:tcPr>
            <w:tcW w:w="5329" w:type="dxa"/>
          </w:tcPr>
          <w:p>
            <w:pPr>
              <w:pStyle w:val="0"/>
            </w:pPr>
            <w:r>
              <w:rPr>
                <w:sz w:val="20"/>
              </w:rPr>
              <w:t xml:space="preserve">необходимость формирования новых и наращивания уже действующих информационных электронных ресурсов согласно пункту 3.13 МС</w:t>
            </w:r>
          </w:p>
        </w:tc>
        <w:tc>
          <w:tcPr>
            <w:tcW w:w="1474" w:type="dxa"/>
          </w:tcPr>
          <w:p>
            <w:pPr>
              <w:pStyle w:val="0"/>
            </w:pPr>
            <w:r>
              <w:rPr>
                <w:sz w:val="20"/>
              </w:rPr>
              <w:t xml:space="preserve">0,2</w:t>
            </w:r>
          </w:p>
        </w:tc>
      </w:tr>
      <w:tr>
        <w:tc>
          <w:tcPr>
            <w:vMerge w:val="continue"/>
          </w:tcPr>
          <w:p/>
        </w:tc>
        <w:tc>
          <w:tcPr>
            <w:tcW w:w="5329" w:type="dxa"/>
          </w:tcPr>
          <w:p>
            <w:pPr>
              <w:pStyle w:val="0"/>
            </w:pPr>
            <w:r>
              <w:rPr>
                <w:sz w:val="20"/>
              </w:rPr>
              <w:t xml:space="preserve">наличие подключения к сети Интернет со скоростью не менее 10 Мбит/с</w:t>
            </w:r>
          </w:p>
        </w:tc>
        <w:tc>
          <w:tcPr>
            <w:tcW w:w="1474" w:type="dxa"/>
          </w:tcPr>
          <w:p>
            <w:pPr>
              <w:pStyle w:val="0"/>
            </w:pPr>
            <w:r>
              <w:rPr>
                <w:sz w:val="20"/>
              </w:rPr>
              <w:t xml:space="preserve">0,2</w:t>
            </w:r>
          </w:p>
        </w:tc>
      </w:tr>
      <w:tr>
        <w:tc>
          <w:tcPr>
            <w:vMerge w:val="continue"/>
          </w:tcPr>
          <w:p/>
        </w:tc>
        <w:tc>
          <w:tcPr>
            <w:tcW w:w="5329" w:type="dxa"/>
          </w:tcPr>
          <w:p>
            <w:pPr>
              <w:pStyle w:val="0"/>
            </w:pPr>
            <w:r>
              <w:rPr>
                <w:sz w:val="20"/>
              </w:rPr>
              <w:t xml:space="preserve">наличие действующего и нуждающегося в обновлении (не реже 1 раза в год) Литрес, СПС и др.</w:t>
            </w:r>
          </w:p>
        </w:tc>
        <w:tc>
          <w:tcPr>
            <w:tcW w:w="1474" w:type="dxa"/>
          </w:tcPr>
          <w:p>
            <w:pPr>
              <w:pStyle w:val="0"/>
            </w:pPr>
            <w:r>
              <w:rPr>
                <w:sz w:val="20"/>
              </w:rPr>
              <w:t xml:space="preserve">0,3</w:t>
            </w:r>
          </w:p>
        </w:tc>
      </w:tr>
      <w:tr>
        <w:tc>
          <w:tcPr>
            <w:vMerge w:val="continue"/>
          </w:tcPr>
          <w:p/>
        </w:tc>
        <w:tc>
          <w:tcPr>
            <w:tcW w:w="5329" w:type="dxa"/>
          </w:tcPr>
          <w:p>
            <w:pPr>
              <w:pStyle w:val="0"/>
            </w:pPr>
            <w:r>
              <w:rPr>
                <w:sz w:val="20"/>
              </w:rPr>
              <w:t xml:space="preserve">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pPr>
              <w:pStyle w:val="0"/>
            </w:pPr>
            <w:r>
              <w:rPr>
                <w:sz w:val="20"/>
              </w:rPr>
              <w:t xml:space="preserve">0,3</w:t>
            </w:r>
          </w:p>
        </w:tc>
      </w:tr>
      <w:tr>
        <w:tc>
          <w:tcPr>
            <w:tcW w:w="2268" w:type="dxa"/>
            <w:vMerge w:val="restart"/>
          </w:tcPr>
          <w:p>
            <w:pPr>
              <w:pStyle w:val="0"/>
            </w:pPr>
            <w:r>
              <w:rPr>
                <w:sz w:val="20"/>
              </w:rPr>
              <w:t xml:space="preserve">Поставка автоматизированных библиотечно-информационных систем в библиотеки для осуществления электронной каталогизации</w:t>
            </w:r>
          </w:p>
        </w:tc>
        <w:tc>
          <w:tcPr>
            <w:tcW w:w="5329" w:type="dxa"/>
          </w:tcPr>
          <w:p>
            <w:pPr>
              <w:pStyle w:val="0"/>
            </w:pPr>
            <w:r>
              <w:rPr>
                <w:sz w:val="20"/>
              </w:rPr>
              <w:t xml:space="preserve">отсутствие либо наличие устаревших версий автоматизированных библиотечно-информационных систем (АБИС)</w:t>
            </w:r>
          </w:p>
        </w:tc>
        <w:tc>
          <w:tcPr>
            <w:tcW w:w="1474" w:type="dxa"/>
          </w:tcPr>
          <w:p>
            <w:pPr>
              <w:pStyle w:val="0"/>
            </w:pPr>
            <w:r>
              <w:rPr>
                <w:sz w:val="20"/>
              </w:rPr>
              <w:t xml:space="preserve">0,7</w:t>
            </w:r>
          </w:p>
        </w:tc>
      </w:tr>
      <w:tr>
        <w:tc>
          <w:tcPr>
            <w:vMerge w:val="continue"/>
          </w:tcPr>
          <w:p/>
        </w:tc>
        <w:tc>
          <w:tcPr>
            <w:tcW w:w="5329" w:type="dxa"/>
          </w:tcPr>
          <w:p>
            <w:pPr>
              <w:pStyle w:val="0"/>
            </w:pPr>
            <w:r>
              <w:rPr>
                <w:sz w:val="20"/>
              </w:rPr>
              <w:t xml:space="preserve">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pPr>
              <w:pStyle w:val="0"/>
            </w:pPr>
            <w:r>
              <w:rPr>
                <w:sz w:val="20"/>
              </w:rPr>
              <w:t xml:space="preserve">0,3</w:t>
            </w:r>
          </w:p>
        </w:tc>
      </w:tr>
      <w:tr>
        <w:tc>
          <w:tcPr>
            <w:tcW w:w="2268" w:type="dxa"/>
          </w:tcPr>
          <w:p>
            <w:pPr>
              <w:pStyle w:val="0"/>
            </w:pPr>
            <w:r>
              <w:rPr>
                <w:sz w:val="20"/>
              </w:rPr>
              <w:t xml:space="preserve">Перевод документов в машиночитаемые форматы</w:t>
            </w:r>
          </w:p>
        </w:tc>
        <w:tc>
          <w:tcPr>
            <w:tcW w:w="5329" w:type="dxa"/>
          </w:tcPr>
          <w:p>
            <w:pPr>
              <w:pStyle w:val="0"/>
            </w:pPr>
            <w:r>
              <w:rPr>
                <w:sz w:val="20"/>
              </w:rPr>
              <w:t xml:space="preserve">исполнение </w:t>
            </w:r>
            <w:hyperlink w:history="0" r:id="rId22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пункта "н"</w:t>
              </w:r>
            </w:hyperlink>
            <w:r>
              <w:rPr>
                <w:sz w:val="20"/>
              </w:rPr>
              <w:t xml:space="preserve"> Указа Президента Российской Федерации от 7 мая 2012 года N 597 "О мероприятиях по реализации государственной социальной политики" в части ежегодного включения в Национальную электронную библиотеку не менее 10% издаваемых в Российской Федерации наименований книг;</w:t>
            </w:r>
          </w:p>
          <w:p>
            <w:pPr>
              <w:pStyle w:val="0"/>
            </w:pPr>
            <w:r>
              <w:rPr>
                <w:sz w:val="20"/>
              </w:rPr>
              <w:t xml:space="preserve">исполнение </w:t>
            </w:r>
            <w:hyperlink w:history="0" r:id="rId223" w:tooltip="Закон ХМАО - Югры от 28.10.2011 N 105-оз (ред. от 01.07.2022) &quot;О регулировании отдельных вопросов библиотечного дела и обязательного экземпляра документов Ханты-Мансийского автономного округа - Югры&quot; (принят Думой Ханты-Мансийского автономного округа - Югры 28.10.2011) {КонсультантПлюс}">
              <w:r>
                <w:rPr>
                  <w:sz w:val="20"/>
                  <w:color w:val="0000ff"/>
                </w:rPr>
                <w:t xml:space="preserve">пункта 4 статьи 7</w:t>
              </w:r>
            </w:hyperlink>
            <w:r>
              <w:rPr>
                <w:sz w:val="20"/>
              </w:rPr>
              <w:t xml:space="preserve"> Закона автономного округа от 28 октября 2011 года N 105-оз "О регулировании отдельных вопросов библиотечного дела и обязательного экземпляра документов Ханты-Мансийского автономного округа - Югры" в части переноса на микро- или машиночитаемые носители документов, входящих в национальный библиотечный фонд</w:t>
            </w:r>
          </w:p>
        </w:tc>
        <w:tc>
          <w:tcPr>
            <w:tcW w:w="1474" w:type="dxa"/>
          </w:tcPr>
          <w:p>
            <w:pPr>
              <w:pStyle w:val="0"/>
            </w:pPr>
            <w:r>
              <w:rPr>
                <w:sz w:val="20"/>
              </w:rPr>
              <w:t xml:space="preserve">1,0</w:t>
            </w:r>
          </w:p>
        </w:tc>
      </w:tr>
      <w:tr>
        <w:tc>
          <w:tcPr>
            <w:tcW w:w="2268" w:type="dxa"/>
            <w:vMerge w:val="restart"/>
          </w:tcPr>
          <w:p>
            <w:pPr>
              <w:pStyle w:val="0"/>
            </w:pPr>
            <w:r>
              <w:rPr>
                <w:sz w:val="20"/>
              </w:rPr>
              <w:t xml:space="preserve">Подключение общедоступных библиотек к сети Интернет</w:t>
            </w:r>
          </w:p>
        </w:tc>
        <w:tc>
          <w:tcPr>
            <w:tcW w:w="5329" w:type="dxa"/>
          </w:tcPr>
          <w:p>
            <w:pPr>
              <w:pStyle w:val="0"/>
            </w:pPr>
            <w:r>
              <w:rPr>
                <w:sz w:val="20"/>
              </w:rPr>
              <w:t xml:space="preserve">отсутствие доступа к сети Интернет согласно п. 3.13 МС</w:t>
            </w:r>
          </w:p>
        </w:tc>
        <w:tc>
          <w:tcPr>
            <w:tcW w:w="1474" w:type="dxa"/>
          </w:tcPr>
          <w:p>
            <w:pPr>
              <w:pStyle w:val="0"/>
            </w:pPr>
            <w:r>
              <w:rPr>
                <w:sz w:val="20"/>
              </w:rPr>
              <w:t xml:space="preserve">0,5</w:t>
            </w:r>
          </w:p>
        </w:tc>
      </w:tr>
      <w:tr>
        <w:tc>
          <w:tcPr>
            <w:vMerge w:val="continue"/>
          </w:tcPr>
          <w:p/>
        </w:tc>
        <w:tc>
          <w:tcPr>
            <w:tcW w:w="5329" w:type="dxa"/>
          </w:tcPr>
          <w:p>
            <w:pPr>
              <w:pStyle w:val="0"/>
            </w:pPr>
            <w:r>
              <w:rPr>
                <w:sz w:val="20"/>
              </w:rPr>
              <w:t xml:space="preserve">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pPr>
              <w:pStyle w:val="0"/>
            </w:pPr>
            <w:r>
              <w:rPr>
                <w:sz w:val="20"/>
              </w:rPr>
              <w:t xml:space="preserve">0,5</w:t>
            </w:r>
          </w:p>
        </w:tc>
      </w:tr>
      <w:tr>
        <w:tc>
          <w:tcPr>
            <w:tcW w:w="2268" w:type="dxa"/>
            <w:vMerge w:val="restart"/>
          </w:tcPr>
          <w:p>
            <w:pPr>
              <w:pStyle w:val="0"/>
            </w:pPr>
            <w:r>
              <w:rPr>
                <w:sz w:val="20"/>
              </w:rPr>
              <w:t xml:space="preserve">Создание собственных сайтов</w:t>
            </w:r>
          </w:p>
        </w:tc>
        <w:tc>
          <w:tcPr>
            <w:tcW w:w="5329" w:type="dxa"/>
          </w:tcPr>
          <w:p>
            <w:pPr>
              <w:pStyle w:val="0"/>
            </w:pPr>
            <w:r>
              <w:rPr>
                <w:sz w:val="20"/>
              </w:rPr>
              <w:t xml:space="preserve">отсутствие веб-сайта публичной библиотеки, снабженного удобными для пользователей навигационными системами, дополненного навигационными системами, обеспечивающими его доступность для лиц с проблемами зрения и слуха. Данный веб-сайт должен использоваться всесторонне, в том числе для оформления электронного заказа на литературу, продления сроков пользования ею, получения справок и др. Для детей должна быть создана отдельная веб-страница согласно пункту 2.18 МС</w:t>
            </w:r>
          </w:p>
        </w:tc>
        <w:tc>
          <w:tcPr>
            <w:tcW w:w="1474" w:type="dxa"/>
          </w:tcPr>
          <w:p>
            <w:pPr>
              <w:pStyle w:val="0"/>
            </w:pPr>
            <w:r>
              <w:rPr>
                <w:sz w:val="20"/>
              </w:rPr>
              <w:t xml:space="preserve">0,4</w:t>
            </w:r>
          </w:p>
        </w:tc>
      </w:tr>
      <w:tr>
        <w:tc>
          <w:tcPr>
            <w:vMerge w:val="continue"/>
          </w:tcPr>
          <w:p/>
        </w:tc>
        <w:tc>
          <w:tcPr>
            <w:tcW w:w="5329" w:type="dxa"/>
          </w:tcPr>
          <w:p>
            <w:pPr>
              <w:pStyle w:val="0"/>
            </w:pPr>
            <w:r>
              <w:rPr>
                <w:sz w:val="20"/>
              </w:rPr>
              <w:t xml:space="preserve">наличие доступа в сеть Интернет</w:t>
            </w:r>
          </w:p>
        </w:tc>
        <w:tc>
          <w:tcPr>
            <w:tcW w:w="1474" w:type="dxa"/>
          </w:tcPr>
          <w:p>
            <w:pPr>
              <w:pStyle w:val="0"/>
            </w:pPr>
            <w:r>
              <w:rPr>
                <w:sz w:val="20"/>
              </w:rPr>
              <w:t xml:space="preserve">0,3</w:t>
            </w:r>
          </w:p>
        </w:tc>
      </w:tr>
      <w:tr>
        <w:tc>
          <w:tcPr>
            <w:vMerge w:val="continue"/>
          </w:tcPr>
          <w:p/>
        </w:tc>
        <w:tc>
          <w:tcPr>
            <w:tcW w:w="5329" w:type="dxa"/>
          </w:tcPr>
          <w:p>
            <w:pPr>
              <w:pStyle w:val="0"/>
            </w:pPr>
            <w:r>
              <w:rPr>
                <w:sz w:val="20"/>
              </w:rPr>
              <w:t xml:space="preserve">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474" w:type="dxa"/>
          </w:tcPr>
          <w:p>
            <w:pPr>
              <w:pStyle w:val="0"/>
            </w:pPr>
            <w:r>
              <w:rPr>
                <w:sz w:val="20"/>
              </w:rPr>
              <w:t xml:space="preserve">0,3</w:t>
            </w:r>
          </w:p>
        </w:tc>
      </w:tr>
      <w:tr>
        <w:tc>
          <w:tcPr>
            <w:tcW w:w="2268" w:type="dxa"/>
            <w:vMerge w:val="restart"/>
          </w:tcPr>
          <w:p>
            <w:pPr>
              <w:pStyle w:val="0"/>
            </w:pPr>
            <w:r>
              <w:rPr>
                <w:sz w:val="20"/>
              </w:rPr>
              <w:t xml:space="preserve">Модернизация имеющихся сайтов, предоставление доступа к ЭК, полнотекстовым ресурсам</w:t>
            </w:r>
          </w:p>
        </w:tc>
        <w:tc>
          <w:tcPr>
            <w:tcW w:w="5329" w:type="dxa"/>
          </w:tcPr>
          <w:p>
            <w:pPr>
              <w:pStyle w:val="0"/>
            </w:pPr>
            <w:r>
              <w:rPr>
                <w:sz w:val="20"/>
              </w:rPr>
              <w:t xml:space="preserve">отсутствие на имеющихся в библиотеке электронных ресурсах (веб-сайтах) коллекций полезных для пользователя интернет-ссылок, списков интернет-адресов, информационных навигаторов, обеспечивающих новые библиотечно-информационные формы работы, в том числе виртуальную справочную службу, электронных презентаций информационных ресурсов и услуг библиотек и др. согласно пункту 3.17 МС</w:t>
            </w:r>
          </w:p>
        </w:tc>
        <w:tc>
          <w:tcPr>
            <w:tcW w:w="1474" w:type="dxa"/>
          </w:tcPr>
          <w:p>
            <w:pPr>
              <w:pStyle w:val="0"/>
            </w:pPr>
            <w:r>
              <w:rPr>
                <w:sz w:val="20"/>
              </w:rPr>
              <w:t xml:space="preserve">0,4</w:t>
            </w:r>
          </w:p>
        </w:tc>
      </w:tr>
      <w:tr>
        <w:tc>
          <w:tcPr>
            <w:vMerge w:val="continue"/>
          </w:tcPr>
          <w:p/>
        </w:tc>
        <w:tc>
          <w:tcPr>
            <w:tcW w:w="5329" w:type="dxa"/>
          </w:tcPr>
          <w:p>
            <w:pPr>
              <w:pStyle w:val="0"/>
            </w:pPr>
            <w:r>
              <w:rPr>
                <w:sz w:val="20"/>
              </w:rPr>
              <w:t xml:space="preserve">наличие доступа в сеть Интернет</w:t>
            </w:r>
          </w:p>
        </w:tc>
        <w:tc>
          <w:tcPr>
            <w:tcW w:w="1474" w:type="dxa"/>
          </w:tcPr>
          <w:p>
            <w:pPr>
              <w:pStyle w:val="0"/>
            </w:pPr>
            <w:r>
              <w:rPr>
                <w:sz w:val="20"/>
              </w:rPr>
              <w:t xml:space="preserve">0,3</w:t>
            </w:r>
          </w:p>
        </w:tc>
      </w:tr>
      <w:tr>
        <w:tc>
          <w:tcPr>
            <w:vMerge w:val="continue"/>
          </w:tcPr>
          <w:p/>
        </w:tc>
        <w:tc>
          <w:tcPr>
            <w:tcW w:w="5329" w:type="dxa"/>
          </w:tcPr>
          <w:p>
            <w:pPr>
              <w:pStyle w:val="0"/>
            </w:pPr>
            <w:r>
              <w:rPr>
                <w:sz w:val="20"/>
              </w:rPr>
              <w:t xml:space="preserve">наличие информационно-технологической инфраструктуры в библиотеке (АРМ, ЛВС, периферийное оборудование и др.) не менее чем 75% от нормативного количества</w:t>
            </w:r>
          </w:p>
        </w:tc>
        <w:tc>
          <w:tcPr>
            <w:tcW w:w="1474" w:type="dxa"/>
          </w:tcPr>
          <w:p>
            <w:pPr>
              <w:pStyle w:val="0"/>
            </w:pPr>
            <w:r>
              <w:rPr>
                <w:sz w:val="20"/>
              </w:rPr>
              <w:t xml:space="preserve">0,3</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112" w:name="P1112"/>
    <w:bookmarkEnd w:id="1112"/>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РАЗВИТИЕ КУЛЬТУРЫ В ЧАСТИ</w:t>
      </w:r>
    </w:p>
    <w:p>
      <w:pPr>
        <w:pStyle w:val="2"/>
        <w:jc w:val="center"/>
      </w:pPr>
      <w:r>
        <w:rPr>
          <w:sz w:val="20"/>
        </w:rPr>
        <w:t xml:space="preserve">КОМПЛЕКТОВАНИЯ КНИЖНЫХ ФОНДОВ БИБЛИОТЕК МУНИЦИПАЛЬНЫХ</w:t>
      </w:r>
    </w:p>
    <w:p>
      <w:pPr>
        <w:pStyle w:val="2"/>
        <w:jc w:val="center"/>
      </w:pPr>
      <w:r>
        <w:rPr>
          <w:sz w:val="20"/>
        </w:rPr>
        <w:t xml:space="preserve">ОБРАЗОВАНИЙ ХАНТЫ-МАНСИЙСКОГО АВТОНОМНОГО ОКРУГА - ЮГРЫ,</w:t>
      </w:r>
    </w:p>
    <w:p>
      <w:pPr>
        <w:pStyle w:val="2"/>
        <w:jc w:val="center"/>
      </w:pPr>
      <w:r>
        <w:rPr>
          <w:sz w:val="20"/>
        </w:rPr>
        <w:t xml:space="preserve">В ТОМ ЧИСЛЕ ЗА СЧЕТ СРЕДСТВ ФЕДЕРАЛЬНОГО БЮДЖЕТА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224"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13.01.2023 </w:t>
            </w:r>
            <w:hyperlink w:history="0" r:id="rId225"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 от 06.10.2023 </w:t>
            </w:r>
            <w:hyperlink w:history="0" r:id="rId226" w:tooltip="Постановление Правительства ХМАО - Югры от 06.10.2023 N 49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496-п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муниципальные образования, автономный округ, Субсидия) на развитие культуры в части комплектования книжных фондов библиотек муниципальных образований, в том числе за счет средств федерального бюджета.</w:t>
      </w:r>
    </w:p>
    <w:p>
      <w:pPr>
        <w:pStyle w:val="0"/>
        <w:spacing w:before="200" w:line-rule="auto"/>
        <w:ind w:firstLine="540"/>
        <w:jc w:val="both"/>
      </w:pPr>
      <w:r>
        <w:rPr>
          <w:sz w:val="20"/>
        </w:rP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22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мероприятия 1.3</w:t>
        </w:r>
      </w:hyperlink>
      <w:r>
        <w:rPr>
          <w:sz w:val="20"/>
        </w:rPr>
        <w:t xml:space="preserve"> "Развитие библиотечного дела"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Субсидия предоставляется в целях софинансирования расходных обязательств муниципальных образований, связанных с реализацией мероприятий по комплектованию книжных фондов библиотек муниципальных образований.</w:t>
      </w:r>
    </w:p>
    <w:p>
      <w:pPr>
        <w:pStyle w:val="0"/>
        <w:spacing w:before="200" w:line-rule="auto"/>
        <w:ind w:firstLine="540"/>
        <w:jc w:val="both"/>
      </w:pPr>
      <w:r>
        <w:rPr>
          <w:sz w:val="20"/>
        </w:rPr>
        <w:t xml:space="preserve">3. Муниципальные образования ежегодно в срок, установленный Департаментом культуры автономного округа (далее - Департамент), представляют заявки на получение субсидии (далее - заявка). Форма заявки и срок предоставления утверждается приказом Департамента, который размещается на официальном сайте Департамента и направляется в муниципальные образования посредством системы автоматизации делопроизводства и электронного документооборота "Дело".</w:t>
      </w:r>
    </w:p>
    <w:p>
      <w:pPr>
        <w:pStyle w:val="0"/>
        <w:spacing w:before="200" w:line-rule="auto"/>
        <w:ind w:firstLine="540"/>
        <w:jc w:val="both"/>
      </w:pPr>
      <w:r>
        <w:rPr>
          <w:sz w:val="20"/>
        </w:rPr>
        <w:t xml:space="preserve">4. Отбор заявок осуществляется в соответствии с Положением, утвержденным приказом Департамента, согласно критерию: наличие в муниципальном образовании автономного округа библиотек, нуждающихся в комплектовании их фондов.</w:t>
      </w:r>
    </w:p>
    <w:p>
      <w:pPr>
        <w:pStyle w:val="0"/>
        <w:jc w:val="both"/>
      </w:pPr>
      <w:r>
        <w:rPr>
          <w:sz w:val="20"/>
        </w:rPr>
        <w:t xml:space="preserve">(в ред. </w:t>
      </w:r>
      <w:hyperlink w:history="0" r:id="rId228" w:tooltip="Постановление Правительства ХМАО - Югры от 06.10.2023 N 49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06.10.2023 N 496-п)</w:t>
      </w:r>
    </w:p>
    <w:p>
      <w:pPr>
        <w:pStyle w:val="0"/>
        <w:spacing w:before="200" w:line-rule="auto"/>
        <w:ind w:firstLine="540"/>
        <w:jc w:val="both"/>
      </w:pPr>
      <w:r>
        <w:rPr>
          <w:sz w:val="20"/>
        </w:rPr>
        <w:t xml:space="preserve">5. Условия предоставления субсидии:</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w:history="0" r:id="rId22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22.1</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Абзац утратил силу с 13 января 2023 года. - </w:t>
      </w:r>
      <w:hyperlink w:history="0" r:id="rId230"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7. Объем Субсидии (S im), предоставляемой i-му муниципальному образованию автономного округа на соответствующий финансовый год, определяется по формуле:</w:t>
      </w:r>
    </w:p>
    <w:p>
      <w:pPr>
        <w:pStyle w:val="0"/>
        <w:ind w:firstLine="540"/>
        <w:jc w:val="both"/>
      </w:pPr>
      <w:r>
        <w:rPr>
          <w:sz w:val="20"/>
        </w:rPr>
      </w:r>
    </w:p>
    <w:p>
      <w:pPr>
        <w:pStyle w:val="0"/>
        <w:ind w:firstLine="540"/>
        <w:jc w:val="both"/>
      </w:pPr>
      <w:r>
        <w:rPr>
          <w:sz w:val="20"/>
        </w:rPr>
        <w:t xml:space="preserve">S im = S общ / Чао * Чim, где:</w:t>
      </w:r>
    </w:p>
    <w:p>
      <w:pPr>
        <w:pStyle w:val="0"/>
        <w:ind w:firstLine="540"/>
        <w:jc w:val="both"/>
      </w:pPr>
      <w:r>
        <w:rPr>
          <w:sz w:val="20"/>
        </w:rPr>
      </w:r>
    </w:p>
    <w:p>
      <w:pPr>
        <w:pStyle w:val="0"/>
        <w:ind w:firstLine="540"/>
        <w:jc w:val="both"/>
      </w:pPr>
      <w:r>
        <w:rPr>
          <w:sz w:val="20"/>
        </w:rPr>
        <w:t xml:space="preserve">S im - объем субсидии из бюджета автономного округа бюджету i-го муниципального образования, в том числе за счет средств федерального бюджета;</w:t>
      </w:r>
    </w:p>
    <w:p>
      <w:pPr>
        <w:pStyle w:val="0"/>
        <w:spacing w:before="200" w:line-rule="auto"/>
        <w:ind w:firstLine="540"/>
        <w:jc w:val="both"/>
      </w:pPr>
      <w:r>
        <w:rPr>
          <w:sz w:val="20"/>
        </w:rPr>
        <w:t xml:space="preserve">S общ - общий объем субсидии на развитие культуры в части комплектования книжных фондов библиотек муниципальных образований автономного округа на соответствующий финансовый год;</w:t>
      </w:r>
    </w:p>
    <w:p>
      <w:pPr>
        <w:pStyle w:val="0"/>
        <w:spacing w:before="200" w:line-rule="auto"/>
        <w:ind w:firstLine="540"/>
        <w:jc w:val="both"/>
      </w:pPr>
      <w:r>
        <w:rPr>
          <w:sz w:val="20"/>
        </w:rPr>
        <w:t xml:space="preserve">Чао - численность населения автономного округа по состоянию на первое января текущего года (по данным Росстата);</w:t>
      </w:r>
    </w:p>
    <w:p>
      <w:pPr>
        <w:pStyle w:val="0"/>
        <w:spacing w:before="200" w:line-rule="auto"/>
        <w:ind w:firstLine="540"/>
        <w:jc w:val="both"/>
      </w:pPr>
      <w:r>
        <w:rPr>
          <w:sz w:val="20"/>
        </w:rPr>
        <w:t xml:space="preserve">Чim - численность населения i-муниципального образования на первое января текущего года (по данным Росстата).</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1149" w:tooltip="8. Уровень софинансирования расходного обязательства бюджета отдельного муниципального образования на модернизацию библиотек в части комплектования книжных фондов библиотек из муниципального бюджета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м в соответствии с разделом IV Методики распределения дотаций на выравнивание бюджетной обеспеченности муниципальных рай...">
        <w:r>
          <w:rPr>
            <w:sz w:val="20"/>
            <w:color w:val="0000ff"/>
          </w:rPr>
          <w:t xml:space="preserve">пункте 8</w:t>
        </w:r>
      </w:hyperlink>
      <w:r>
        <w:rPr>
          <w:sz w:val="20"/>
        </w:rPr>
        <w:t xml:space="preserve"> Порядка.</w:t>
      </w:r>
    </w:p>
    <w:p>
      <w:pPr>
        <w:pStyle w:val="0"/>
        <w:jc w:val="both"/>
      </w:pPr>
      <w:r>
        <w:rPr>
          <w:sz w:val="20"/>
        </w:rPr>
        <w:t xml:space="preserve">(п. 7 в ред. </w:t>
      </w:r>
      <w:hyperlink w:history="0" r:id="rId231"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bookmarkStart w:id="1149" w:name="P1149"/>
    <w:bookmarkEnd w:id="1149"/>
    <w:p>
      <w:pPr>
        <w:pStyle w:val="0"/>
        <w:spacing w:before="200" w:line-rule="auto"/>
        <w:ind w:firstLine="540"/>
        <w:jc w:val="both"/>
      </w:pPr>
      <w:r>
        <w:rPr>
          <w:sz w:val="20"/>
        </w:rPr>
        <w:t xml:space="preserve">8. Уровень софинансирования расходного обязательства бюджета отдельного муниципального образования на модернизацию библиотек в части комплектования книжных фондов библиотек из муниципального бюджета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рассчитанным в соответствии с </w:t>
      </w:r>
      <w:hyperlink w:history="0" r:id="rId232"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2041"/>
        <w:gridCol w:w="3685"/>
      </w:tblGrid>
      <w:tr>
        <w:tc>
          <w:tcPr>
            <w:tcW w:w="3345" w:type="dxa"/>
          </w:tcPr>
          <w:p>
            <w:pPr>
              <w:pStyle w:val="0"/>
              <w:jc w:val="center"/>
            </w:pPr>
            <w:r>
              <w:rPr>
                <w:sz w:val="20"/>
              </w:rPr>
              <w:t xml:space="preserve">Уровень расчетной бюджетной обеспеченности муниципального образования</w:t>
            </w:r>
          </w:p>
        </w:tc>
        <w:tc>
          <w:tcPr>
            <w:tcW w:w="2041" w:type="dxa"/>
          </w:tcPr>
          <w:p>
            <w:pPr>
              <w:pStyle w:val="0"/>
              <w:jc w:val="center"/>
            </w:pPr>
            <w:r>
              <w:rPr>
                <w:sz w:val="20"/>
              </w:rPr>
              <w:t xml:space="preserve">Группа муниципального образования</w:t>
            </w:r>
          </w:p>
        </w:tc>
        <w:tc>
          <w:tcPr>
            <w:tcW w:w="3685"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 Yi</w:t>
            </w:r>
          </w:p>
        </w:tc>
      </w:tr>
      <w:tr>
        <w:tc>
          <w:tcPr>
            <w:tcW w:w="3345" w:type="dxa"/>
          </w:tcPr>
          <w:p>
            <w:pPr>
              <w:pStyle w:val="0"/>
              <w:jc w:val="both"/>
            </w:pPr>
            <w:r>
              <w:rPr>
                <w:sz w:val="20"/>
              </w:rPr>
              <w:t xml:space="preserve">от 0 до 0,600</w:t>
            </w:r>
          </w:p>
        </w:tc>
        <w:tc>
          <w:tcPr>
            <w:tcW w:w="2041" w:type="dxa"/>
          </w:tcPr>
          <w:p>
            <w:pPr>
              <w:pStyle w:val="0"/>
              <w:jc w:val="both"/>
            </w:pPr>
            <w:r>
              <w:rPr>
                <w:sz w:val="20"/>
              </w:rPr>
              <w:t xml:space="preserve">1</w:t>
            </w:r>
          </w:p>
        </w:tc>
        <w:tc>
          <w:tcPr>
            <w:tcW w:w="3685" w:type="dxa"/>
          </w:tcPr>
          <w:p>
            <w:pPr>
              <w:pStyle w:val="0"/>
              <w:jc w:val="both"/>
            </w:pPr>
            <w:r>
              <w:rPr>
                <w:sz w:val="20"/>
              </w:rPr>
              <w:t xml:space="preserve">95%</w:t>
            </w:r>
          </w:p>
        </w:tc>
      </w:tr>
      <w:tr>
        <w:tc>
          <w:tcPr>
            <w:tcW w:w="3345" w:type="dxa"/>
          </w:tcPr>
          <w:p>
            <w:pPr>
              <w:pStyle w:val="0"/>
              <w:jc w:val="both"/>
            </w:pPr>
            <w:r>
              <w:rPr>
                <w:sz w:val="20"/>
              </w:rPr>
              <w:t xml:space="preserve">от 0,601 до 1,000</w:t>
            </w:r>
          </w:p>
        </w:tc>
        <w:tc>
          <w:tcPr>
            <w:tcW w:w="2041" w:type="dxa"/>
          </w:tcPr>
          <w:p>
            <w:pPr>
              <w:pStyle w:val="0"/>
              <w:jc w:val="both"/>
            </w:pPr>
            <w:r>
              <w:rPr>
                <w:sz w:val="20"/>
              </w:rPr>
              <w:t xml:space="preserve">2</w:t>
            </w:r>
          </w:p>
        </w:tc>
        <w:tc>
          <w:tcPr>
            <w:tcW w:w="3685" w:type="dxa"/>
          </w:tcPr>
          <w:p>
            <w:pPr>
              <w:pStyle w:val="0"/>
              <w:jc w:val="both"/>
            </w:pPr>
            <w:r>
              <w:rPr>
                <w:sz w:val="20"/>
              </w:rPr>
              <w:t xml:space="preserve">85%</w:t>
            </w:r>
          </w:p>
        </w:tc>
      </w:tr>
      <w:tr>
        <w:tc>
          <w:tcPr>
            <w:tcW w:w="3345" w:type="dxa"/>
          </w:tcPr>
          <w:p>
            <w:pPr>
              <w:pStyle w:val="0"/>
              <w:jc w:val="both"/>
            </w:pPr>
            <w:r>
              <w:rPr>
                <w:sz w:val="20"/>
              </w:rPr>
              <w:t xml:space="preserve">свыше 1,001</w:t>
            </w:r>
          </w:p>
        </w:tc>
        <w:tc>
          <w:tcPr>
            <w:tcW w:w="2041" w:type="dxa"/>
          </w:tcPr>
          <w:p>
            <w:pPr>
              <w:pStyle w:val="0"/>
              <w:jc w:val="both"/>
            </w:pPr>
            <w:r>
              <w:rPr>
                <w:sz w:val="20"/>
              </w:rPr>
              <w:t xml:space="preserve">3</w:t>
            </w:r>
          </w:p>
        </w:tc>
        <w:tc>
          <w:tcPr>
            <w:tcW w:w="3685" w:type="dxa"/>
          </w:tcPr>
          <w:p>
            <w:pPr>
              <w:pStyle w:val="0"/>
              <w:jc w:val="both"/>
            </w:pPr>
            <w:r>
              <w:rPr>
                <w:sz w:val="20"/>
              </w:rPr>
              <w:t xml:space="preserve">80%</w:t>
            </w:r>
          </w:p>
        </w:tc>
      </w:tr>
    </w:tbl>
    <w:p>
      <w:pPr>
        <w:pStyle w:val="0"/>
        <w:ind w:firstLine="540"/>
        <w:jc w:val="both"/>
      </w:pPr>
      <w:r>
        <w:rPr>
          <w:sz w:val="20"/>
        </w:rPr>
      </w:r>
    </w:p>
    <w:p>
      <w:pPr>
        <w:pStyle w:val="0"/>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pPr>
        <w:pStyle w:val="0"/>
        <w:spacing w:before="200" w:line-rule="auto"/>
        <w:ind w:firstLine="540"/>
        <w:jc w:val="both"/>
      </w:pPr>
      <w:r>
        <w:rPr>
          <w:sz w:val="20"/>
        </w:rPr>
        <w:t xml:space="preserve">9.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10. Соглашение должно содержать информацию, указанную в </w:t>
      </w:r>
      <w:hyperlink w:history="0" r:id="rId23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предоставления субсидий.</w:t>
      </w:r>
    </w:p>
    <w:p>
      <w:pPr>
        <w:pStyle w:val="0"/>
        <w:spacing w:before="200" w:line-rule="auto"/>
        <w:ind w:firstLine="540"/>
        <w:jc w:val="both"/>
      </w:pPr>
      <w:r>
        <w:rPr>
          <w:sz w:val="20"/>
        </w:rPr>
        <w:t xml:space="preserve">11.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12.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13.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23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14.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23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или результатов регионального проекта, а также в случае сокращения размера Субсидии.</w:t>
      </w:r>
    </w:p>
    <w:p>
      <w:pPr>
        <w:pStyle w:val="0"/>
        <w:spacing w:before="200" w:line-rule="auto"/>
        <w:ind w:firstLine="540"/>
        <w:jc w:val="both"/>
      </w:pPr>
      <w:r>
        <w:rPr>
          <w:sz w:val="20"/>
        </w:rPr>
        <w:t xml:space="preserve">15.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16. Результатом использования субсидии является количество посещений организаций культуры по отношению к уровню 2017 года (в части посещений библиотек).</w:t>
      </w:r>
    </w:p>
    <w:p>
      <w:pPr>
        <w:pStyle w:val="0"/>
        <w:jc w:val="both"/>
      </w:pPr>
      <w:r>
        <w:rPr>
          <w:sz w:val="20"/>
        </w:rPr>
        <w:t xml:space="preserve">(в ред. </w:t>
      </w:r>
      <w:hyperlink w:history="0" r:id="rId236"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17.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18.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23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23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21.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22.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23.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w:history="0" r:id="rId23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24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24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3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24.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25.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24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24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26.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27.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ind w:firstLine="540"/>
        <w:jc w:val="both"/>
      </w:pPr>
      <w:r>
        <w:rPr>
          <w:sz w:val="20"/>
        </w:rPr>
      </w:r>
    </w:p>
    <w:p>
      <w:pPr>
        <w:pStyle w:val="0"/>
        <w:outlineLvl w:val="1"/>
        <w:jc w:val="right"/>
      </w:pPr>
      <w:r>
        <w:rPr>
          <w:sz w:val="20"/>
        </w:rPr>
        <w:t xml:space="preserve">Таблица 1</w:t>
      </w:r>
    </w:p>
    <w:p>
      <w:pPr>
        <w:pStyle w:val="0"/>
        <w:jc w:val="center"/>
      </w:pPr>
      <w:r>
        <w:rPr>
          <w:sz w:val="20"/>
        </w:rPr>
      </w:r>
    </w:p>
    <w:p>
      <w:pPr>
        <w:pStyle w:val="2"/>
        <w:jc w:val="center"/>
      </w:pPr>
      <w:r>
        <w:rPr>
          <w:sz w:val="20"/>
        </w:rPr>
        <w:t xml:space="preserve">Перечень критериев отбора заявок</w:t>
      </w:r>
    </w:p>
    <w:p>
      <w:pPr>
        <w:pStyle w:val="0"/>
        <w:jc w:val="center"/>
      </w:pPr>
      <w:r>
        <w:rPr>
          <w:sz w:val="20"/>
        </w:rPr>
      </w:r>
    </w:p>
    <w:p>
      <w:pPr>
        <w:pStyle w:val="0"/>
        <w:ind w:firstLine="540"/>
        <w:jc w:val="both"/>
      </w:pPr>
      <w:r>
        <w:rPr>
          <w:sz w:val="20"/>
        </w:rPr>
        <w:t xml:space="preserve">Утратила силу с 6 октября 2023 года. - </w:t>
      </w:r>
      <w:hyperlink w:history="0" r:id="rId244" w:tooltip="Постановление Правительства ХМАО - Югры от 06.10.2023 N 496-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06.10.2023 N 496-п.</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209" w:name="P1209"/>
    <w:bookmarkEnd w:id="1209"/>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СТРОИТЕЛЬСТВО (РЕКОНСТРУКЦИЮ)</w:t>
      </w:r>
    </w:p>
    <w:p>
      <w:pPr>
        <w:pStyle w:val="2"/>
        <w:jc w:val="center"/>
      </w:pPr>
      <w:r>
        <w:rPr>
          <w:sz w:val="20"/>
        </w:rPr>
        <w:t xml:space="preserve">ОБЪЕКТОВ, ПРЕДНАЗНАЧЕННЫХ ДЛЯ РАЗМЕЩЕНИЯ МУНИЦИПАЛЬНЫХ</w:t>
      </w:r>
    </w:p>
    <w:p>
      <w:pPr>
        <w:pStyle w:val="2"/>
        <w:jc w:val="center"/>
      </w:pPr>
      <w:r>
        <w:rPr>
          <w:sz w:val="20"/>
        </w:rPr>
        <w:t xml:space="preserve">УЧРЕЖДЕНИЙ КУЛЬТУРЫ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245"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13.01.2023 </w:t>
            </w:r>
            <w:hyperlink w:history="0" r:id="rId246"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местный бюджет, муниципальное образование) на строительство (реконструкцию) объектов, предназначенных для размещения муниципальных учреждений культуры (далее - Субсидия).</w:t>
      </w:r>
    </w:p>
    <w:p>
      <w:pPr>
        <w:pStyle w:val="0"/>
        <w:spacing w:before="200" w:line-rule="auto"/>
        <w:ind w:firstLine="540"/>
        <w:jc w:val="both"/>
      </w:pPr>
      <w:r>
        <w:rPr>
          <w:sz w:val="20"/>
        </w:rP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24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мероприятия 1.5</w:t>
        </w:r>
      </w:hyperlink>
      <w:r>
        <w:rPr>
          <w:sz w:val="20"/>
        </w:rPr>
        <w:t xml:space="preserve"> "Укрепление материально-технической базы учреждений культуры"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w:t>
      </w:r>
    </w:p>
    <w:p>
      <w:pPr>
        <w:pStyle w:val="0"/>
        <w:jc w:val="both"/>
      </w:pPr>
      <w:r>
        <w:rPr>
          <w:sz w:val="20"/>
        </w:rPr>
        <w:t xml:space="preserve">(в ред. </w:t>
      </w:r>
      <w:hyperlink w:history="0" r:id="rId248"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Субсидия предоставляется в целях софинансирования расходных обязательств муниципальных образований, предусматривающих строительство (реконструкцию) объектов, предназначенных для размещения муниципальных учреждений культуры.</w:t>
      </w:r>
    </w:p>
    <w:p>
      <w:pPr>
        <w:pStyle w:val="0"/>
        <w:jc w:val="both"/>
      </w:pPr>
      <w:r>
        <w:rPr>
          <w:sz w:val="20"/>
        </w:rPr>
        <w:t xml:space="preserve">(в ред. </w:t>
      </w:r>
      <w:hyperlink w:history="0" r:id="rId24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bookmarkStart w:id="1225" w:name="P1225"/>
    <w:bookmarkEnd w:id="1225"/>
    <w:p>
      <w:pPr>
        <w:pStyle w:val="0"/>
        <w:spacing w:before="200" w:line-rule="auto"/>
        <w:ind w:firstLine="540"/>
        <w:jc w:val="both"/>
      </w:pPr>
      <w:r>
        <w:rPr>
          <w:sz w:val="20"/>
        </w:rPr>
        <w:t xml:space="preserve">3. Критериями отбора объектов муниципальных образований по приоритетности для предоставления субсидии являются:</w:t>
      </w:r>
    </w:p>
    <w:p>
      <w:pPr>
        <w:pStyle w:val="0"/>
        <w:spacing w:before="200" w:line-rule="auto"/>
        <w:ind w:firstLine="540"/>
        <w:jc w:val="both"/>
      </w:pPr>
      <w:r>
        <w:rPr>
          <w:sz w:val="20"/>
        </w:rPr>
        <w:t xml:space="preserve">незавершенные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очередном финансовом году;</w:t>
      </w:r>
    </w:p>
    <w:p>
      <w:pPr>
        <w:pStyle w:val="0"/>
        <w:spacing w:before="200" w:line-rule="auto"/>
        <w:ind w:firstLine="540"/>
        <w:jc w:val="both"/>
      </w:pPr>
      <w:r>
        <w:rPr>
          <w:sz w:val="20"/>
        </w:rPr>
        <w:t xml:space="preserve">объекты капитального строительства для решения отдельных задач развития автономного округа на основании поручений Президента Российской Федерации, Губернатора автономного округа или Правительства автономного округа о предоставлении бюджетных инвестиций;</w:t>
      </w:r>
    </w:p>
    <w:p>
      <w:pPr>
        <w:pStyle w:val="0"/>
        <w:spacing w:before="200" w:line-rule="auto"/>
        <w:ind w:firstLine="540"/>
        <w:jc w:val="both"/>
      </w:pPr>
      <w:r>
        <w:rPr>
          <w:sz w:val="20"/>
        </w:rPr>
        <w:t xml:space="preserve">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pPr>
        <w:pStyle w:val="0"/>
        <w:spacing w:before="200" w:line-rule="auto"/>
        <w:ind w:firstLine="540"/>
        <w:jc w:val="both"/>
      </w:pPr>
      <w:r>
        <w:rPr>
          <w:sz w:val="20"/>
        </w:rPr>
        <w:t xml:space="preserve">объекты капитального строительства, на строительство (реконструкцию) которых обеспечивается привлечением иных, помимо средств бюджета автономного округа, источников финансирования;</w:t>
      </w:r>
    </w:p>
    <w:p>
      <w:pPr>
        <w:pStyle w:val="0"/>
        <w:spacing w:before="200" w:line-rule="auto"/>
        <w:ind w:firstLine="540"/>
        <w:jc w:val="both"/>
      </w:pPr>
      <w:r>
        <w:rPr>
          <w:sz w:val="20"/>
        </w:rPr>
        <w:t xml:space="preserve">новые объекты капитального строительства, на строительство (реконструкцию) которых имеется проектная документация, утвержденная в установленном Правительством автономного округа порядке.</w:t>
      </w:r>
    </w:p>
    <w:p>
      <w:pPr>
        <w:pStyle w:val="0"/>
        <w:spacing w:before="200" w:line-rule="auto"/>
        <w:ind w:firstLine="540"/>
        <w:jc w:val="both"/>
      </w:pPr>
      <w:r>
        <w:rPr>
          <w:sz w:val="20"/>
        </w:rPr>
        <w:t xml:space="preserve">4. Муниципальные образования в период формирования проекта закона о бюджете автономного округа на очередной финансовый год и плановый период ежегодно представляют в сроки, установленные приказом Департамента культуры автономного округа (далее - Департамент), инвестиционные предложения по объектам капитального строительства в соответствии с критериями отбора, установленными </w:t>
      </w:r>
      <w:hyperlink w:history="0" w:anchor="P1225" w:tooltip="3. Критериями отбора объектов муниципальных образований по приоритетности для предоставления субсидии являются:">
        <w:r>
          <w:rPr>
            <w:sz w:val="20"/>
            <w:color w:val="0000ff"/>
          </w:rPr>
          <w:t xml:space="preserve">пунктом 3</w:t>
        </w:r>
      </w:hyperlink>
      <w:r>
        <w:rPr>
          <w:sz w:val="20"/>
        </w:rPr>
        <w:t xml:space="preserve"> Порядка.</w:t>
      </w:r>
    </w:p>
    <w:p>
      <w:pPr>
        <w:pStyle w:val="0"/>
        <w:spacing w:before="200" w:line-rule="auto"/>
        <w:ind w:firstLine="540"/>
        <w:jc w:val="both"/>
      </w:pPr>
      <w:r>
        <w:rPr>
          <w:sz w:val="20"/>
        </w:rPr>
        <w:t xml:space="preserve">5. По инвестиционным предложениям, предусматривающим строительство (реконструкцию) объектов капитального строительства, включенных в </w:t>
      </w:r>
      <w:hyperlink w:history="0" r:id="rId25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Таблицу 3</w:t>
        </w:r>
      </w:hyperlink>
      <w:r>
        <w:rPr>
          <w:sz w:val="20"/>
        </w:rPr>
        <w:t xml:space="preserve"> приложения 1 государственной программы "Культурное пространство", второй этап проверки на предмет эффективности использования средств бюджета автономного округа, направляемых на капитальные вложения осуществляется в соответствии с </w:t>
      </w:r>
      <w:hyperlink w:history="0" r:id="rId251" w:tooltip="Постановление Правительства ХМАО - Югры от 02.04.2011 N 93-п (ред. от 12.08.2022) &quot;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quot; {КонсультантПлюс}">
        <w:r>
          <w:rPr>
            <w:sz w:val="20"/>
            <w:color w:val="0000ff"/>
          </w:rPr>
          <w:t xml:space="preserve">постановлением</w:t>
        </w:r>
      </w:hyperlink>
      <w:r>
        <w:rPr>
          <w:sz w:val="20"/>
        </w:rP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Распределение объемов Субсидии между муниципальными образованиями в текущем финансовом году, без внесения изменений в закон автономного округа о бюджете автономного округа на текущий финансовый год и плановый период, осуществляется в случаях, установленных в </w:t>
      </w:r>
      <w:hyperlink w:history="0" r:id="rId25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22.1</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bookmarkStart w:id="1240" w:name="P1240"/>
    <w:bookmarkEnd w:id="1240"/>
    <w:p>
      <w:pPr>
        <w:pStyle w:val="0"/>
        <w:spacing w:before="200" w:line-rule="auto"/>
        <w:ind w:firstLine="540"/>
        <w:jc w:val="both"/>
      </w:pPr>
      <w:r>
        <w:rPr>
          <w:sz w:val="20"/>
        </w:rPr>
        <w:t xml:space="preserve">8.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w:history="0" r:id="rId253"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16"/>
        <w:gridCol w:w="2062"/>
        <w:gridCol w:w="3969"/>
      </w:tblGrid>
      <w:tr>
        <w:tc>
          <w:tcPr>
            <w:tcW w:w="3016" w:type="dxa"/>
          </w:tcPr>
          <w:p>
            <w:pPr>
              <w:pStyle w:val="0"/>
              <w:jc w:val="center"/>
            </w:pPr>
            <w:r>
              <w:rPr>
                <w:sz w:val="20"/>
              </w:rPr>
              <w:t xml:space="preserve">Уровень расчетной бюджетной обеспеченности муниципального образования автономного округа</w:t>
            </w:r>
          </w:p>
        </w:tc>
        <w:tc>
          <w:tcPr>
            <w:tcW w:w="2062" w:type="dxa"/>
          </w:tcPr>
          <w:p>
            <w:pPr>
              <w:pStyle w:val="0"/>
              <w:jc w:val="center"/>
            </w:pPr>
            <w:r>
              <w:rPr>
                <w:sz w:val="20"/>
              </w:rPr>
              <w:t xml:space="preserve">Группа муниципального образования</w:t>
            </w:r>
          </w:p>
        </w:tc>
        <w:tc>
          <w:tcPr>
            <w:tcW w:w="3969" w:type="dxa"/>
          </w:tcPr>
          <w:p>
            <w:pPr>
              <w:pStyle w:val="0"/>
              <w:jc w:val="center"/>
            </w:pPr>
            <w:r>
              <w:rPr>
                <w:sz w:val="20"/>
              </w:rPr>
              <w:t xml:space="preserve">Уровень софинансирования расходного обязательства бюджета отдельного муниципального образования из средств бюджета автономного округа,</w:t>
            </w:r>
          </w:p>
          <w:p>
            <w:pPr>
              <w:pStyle w:val="0"/>
              <w:jc w:val="center"/>
            </w:pPr>
            <w:r>
              <w:rPr>
                <w:sz w:val="20"/>
              </w:rPr>
              <w:t xml:space="preserve">Yi</w:t>
            </w:r>
          </w:p>
        </w:tc>
      </w:tr>
      <w:tr>
        <w:tc>
          <w:tcPr>
            <w:tcW w:w="3016" w:type="dxa"/>
          </w:tcPr>
          <w:p>
            <w:pPr>
              <w:pStyle w:val="0"/>
              <w:jc w:val="both"/>
            </w:pPr>
            <w:r>
              <w:rPr>
                <w:sz w:val="20"/>
              </w:rPr>
              <w:t xml:space="preserve">от 0 до 1,300</w:t>
            </w:r>
          </w:p>
        </w:tc>
        <w:tc>
          <w:tcPr>
            <w:tcW w:w="2062" w:type="dxa"/>
          </w:tcPr>
          <w:p>
            <w:pPr>
              <w:pStyle w:val="0"/>
              <w:jc w:val="center"/>
            </w:pPr>
            <w:r>
              <w:rPr>
                <w:sz w:val="20"/>
              </w:rPr>
              <w:t xml:space="preserve">1</w:t>
            </w:r>
          </w:p>
        </w:tc>
        <w:tc>
          <w:tcPr>
            <w:tcW w:w="3969" w:type="dxa"/>
          </w:tcPr>
          <w:p>
            <w:pPr>
              <w:pStyle w:val="0"/>
              <w:jc w:val="center"/>
            </w:pPr>
            <w:r>
              <w:rPr>
                <w:sz w:val="20"/>
              </w:rPr>
              <w:t xml:space="preserve">95%</w:t>
            </w:r>
          </w:p>
        </w:tc>
      </w:tr>
      <w:tr>
        <w:tc>
          <w:tcPr>
            <w:tcW w:w="3016" w:type="dxa"/>
          </w:tcPr>
          <w:p>
            <w:pPr>
              <w:pStyle w:val="0"/>
              <w:jc w:val="both"/>
            </w:pPr>
            <w:r>
              <w:rPr>
                <w:sz w:val="20"/>
              </w:rPr>
              <w:t xml:space="preserve">от 1,301 до 1,500</w:t>
            </w:r>
          </w:p>
        </w:tc>
        <w:tc>
          <w:tcPr>
            <w:tcW w:w="2062" w:type="dxa"/>
          </w:tcPr>
          <w:p>
            <w:pPr>
              <w:pStyle w:val="0"/>
              <w:jc w:val="center"/>
            </w:pPr>
            <w:r>
              <w:rPr>
                <w:sz w:val="20"/>
              </w:rPr>
              <w:t xml:space="preserve">2</w:t>
            </w:r>
          </w:p>
        </w:tc>
        <w:tc>
          <w:tcPr>
            <w:tcW w:w="3969" w:type="dxa"/>
          </w:tcPr>
          <w:p>
            <w:pPr>
              <w:pStyle w:val="0"/>
              <w:jc w:val="center"/>
            </w:pPr>
            <w:r>
              <w:rPr>
                <w:sz w:val="20"/>
              </w:rPr>
              <w:t xml:space="preserve">90%</w:t>
            </w:r>
          </w:p>
        </w:tc>
      </w:tr>
      <w:tr>
        <w:tc>
          <w:tcPr>
            <w:tcW w:w="3016" w:type="dxa"/>
          </w:tcPr>
          <w:p>
            <w:pPr>
              <w:pStyle w:val="0"/>
              <w:jc w:val="both"/>
            </w:pPr>
            <w:r>
              <w:rPr>
                <w:sz w:val="20"/>
              </w:rPr>
              <w:t xml:space="preserve">свыше 1,501</w:t>
            </w:r>
          </w:p>
        </w:tc>
        <w:tc>
          <w:tcPr>
            <w:tcW w:w="2062" w:type="dxa"/>
          </w:tcPr>
          <w:p>
            <w:pPr>
              <w:pStyle w:val="0"/>
              <w:jc w:val="center"/>
            </w:pPr>
            <w:r>
              <w:rPr>
                <w:sz w:val="20"/>
              </w:rPr>
              <w:t xml:space="preserve">3</w:t>
            </w:r>
          </w:p>
        </w:tc>
        <w:tc>
          <w:tcPr>
            <w:tcW w:w="3969" w:type="dxa"/>
          </w:tcPr>
          <w:p>
            <w:pPr>
              <w:pStyle w:val="0"/>
              <w:jc w:val="center"/>
            </w:pPr>
            <w:r>
              <w:rPr>
                <w:sz w:val="20"/>
              </w:rPr>
              <w:t xml:space="preserve">80%</w:t>
            </w:r>
          </w:p>
        </w:tc>
      </w:tr>
    </w:tbl>
    <w:p>
      <w:pPr>
        <w:pStyle w:val="0"/>
        <w:ind w:firstLine="540"/>
        <w:jc w:val="both"/>
      </w:pPr>
      <w:r>
        <w:rPr>
          <w:sz w:val="20"/>
        </w:rPr>
      </w:r>
    </w:p>
    <w:p>
      <w:pPr>
        <w:pStyle w:val="0"/>
        <w:ind w:firstLine="540"/>
        <w:jc w:val="both"/>
      </w:pPr>
      <w:r>
        <w:rPr>
          <w:sz w:val="20"/>
        </w:rPr>
        <w:t xml:space="preserve">Муниципальные образования вправе увеличивать объем финансирования мероприятия за счет привлеченных и собственных средств местных бюджетов, что не влечет обязательств по увеличению размера Субсидии из бюджета автономного округа.</w:t>
      </w:r>
    </w:p>
    <w:p>
      <w:pPr>
        <w:pStyle w:val="0"/>
        <w:spacing w:before="200" w:line-rule="auto"/>
        <w:ind w:firstLine="540"/>
        <w:jc w:val="both"/>
      </w:pPr>
      <w:r>
        <w:rPr>
          <w:sz w:val="20"/>
        </w:rPr>
        <w:t xml:space="preserve">9. Объем Субсидии, предоставляемой i-му муниципальному образованию автономного округа, на строительство (реконструкцию) определяется по формуле:</w:t>
      </w:r>
    </w:p>
    <w:p>
      <w:pPr>
        <w:pStyle w:val="0"/>
        <w:ind w:firstLine="540"/>
        <w:jc w:val="both"/>
      </w:pPr>
      <w:r>
        <w:rPr>
          <w:sz w:val="20"/>
        </w:rPr>
      </w:r>
    </w:p>
    <w:p>
      <w:pPr>
        <w:pStyle w:val="0"/>
        <w:ind w:firstLine="540"/>
        <w:jc w:val="both"/>
      </w:pPr>
      <w:r>
        <w:rPr>
          <w:position w:val="-11"/>
        </w:rPr>
        <w:drawing>
          <wp:inline distT="0" distB="0" distL="0" distR="0">
            <wp:extent cx="11715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Sji - объем субсидии, установленный бюджету i-го муниципального образования автономного округа в j-м году, тыс. рублей;</w:t>
      </w:r>
    </w:p>
    <w:p>
      <w:pPr>
        <w:pStyle w:val="0"/>
        <w:spacing w:before="200" w:line-rule="auto"/>
        <w:ind w:firstLine="540"/>
        <w:jc w:val="both"/>
      </w:pPr>
      <w:r>
        <w:rPr>
          <w:sz w:val="20"/>
        </w:rPr>
        <w:t xml:space="preserve">m - количество объектов, планируемых к строительству (реконструкции) в i-м муниципальном образовании автономного округа;</w:t>
      </w:r>
    </w:p>
    <w:p>
      <w:pPr>
        <w:pStyle w:val="0"/>
        <w:spacing w:before="200" w:line-rule="auto"/>
        <w:ind w:firstLine="540"/>
        <w:jc w:val="both"/>
      </w:pPr>
      <w:r>
        <w:rPr>
          <w:sz w:val="20"/>
        </w:rPr>
        <w:t xml:space="preserve">Sni - расчетный размер потребности в финансовых средствах на строительство (реконструкцию) объекта, представленный органом местного самоуправления муниципального образования автономного округа на основании положительного заключения государственной экспертизы проектной документации, тыс. рублей;</w:t>
      </w:r>
    </w:p>
    <w:p>
      <w:pPr>
        <w:pStyle w:val="0"/>
        <w:spacing w:before="200" w:line-rule="auto"/>
        <w:ind w:firstLine="540"/>
        <w:jc w:val="both"/>
      </w:pPr>
      <w:r>
        <w:rPr>
          <w:sz w:val="20"/>
        </w:rPr>
        <w:t xml:space="preserve">Yi - уровень софинансирования из бюджета автономного округа.</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1240" w:tooltip="8.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разделом IV Методики распределения дотаций на выравнивание бюджетной обеспеченности муниципальных районов (городских округов), утвержденной закон...">
        <w:r>
          <w:rPr>
            <w:sz w:val="20"/>
            <w:color w:val="0000ff"/>
          </w:rPr>
          <w:t xml:space="preserve">пункте 8</w:t>
        </w:r>
      </w:hyperlink>
      <w:r>
        <w:rPr>
          <w:sz w:val="20"/>
        </w:rPr>
        <w:t xml:space="preserve"> Порядка.</w:t>
      </w:r>
    </w:p>
    <w:p>
      <w:pPr>
        <w:pStyle w:val="0"/>
        <w:jc w:val="both"/>
      </w:pPr>
      <w:r>
        <w:rPr>
          <w:sz w:val="20"/>
        </w:rPr>
        <w:t xml:space="preserve">(абзац введен </w:t>
      </w:r>
      <w:hyperlink w:history="0" r:id="rId255"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13.01.2023 N 2-п)</w:t>
      </w:r>
    </w:p>
    <w:p>
      <w:pPr>
        <w:pStyle w:val="0"/>
        <w:spacing w:before="200" w:line-rule="auto"/>
        <w:ind w:firstLine="540"/>
        <w:jc w:val="both"/>
      </w:pPr>
      <w:r>
        <w:rPr>
          <w:sz w:val="20"/>
        </w:rPr>
        <w:t xml:space="preserve">10. Предоставление Субсидии муниципальному образованию на условиях софинансирования расходных обязательств из бюджета автономного округа осуществляется на основании соглашения, заключаемого в соответствии с типовой формой, утвержденной Департаментом финансов автономного округа в государственной информационной системе автономного округа "Региональный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11. Соглашение должно содержать информацию, указанную в </w:t>
      </w:r>
      <w:hyperlink w:history="0" r:id="rId25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предоставления Субсидий.</w:t>
      </w:r>
    </w:p>
    <w:p>
      <w:pPr>
        <w:pStyle w:val="0"/>
        <w:spacing w:before="200" w:line-rule="auto"/>
        <w:ind w:firstLine="540"/>
        <w:jc w:val="both"/>
      </w:pPr>
      <w:r>
        <w:rPr>
          <w:sz w:val="20"/>
        </w:rPr>
        <w:t xml:space="preserve">12.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13.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14.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25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15. В случае изменения общего объема бюджетных ассигнований, в том числе в связи с изменением сметной или предполагаемой (предельной) стоимости строительства объекта капитального строительства,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соответствующем финансовом году в местном бюджете.</w:t>
      </w:r>
    </w:p>
    <w:p>
      <w:pPr>
        <w:pStyle w:val="0"/>
        <w:spacing w:before="200" w:line-rule="auto"/>
        <w:ind w:firstLine="540"/>
        <w:jc w:val="both"/>
      </w:pPr>
      <w:r>
        <w:rPr>
          <w:sz w:val="20"/>
        </w:rPr>
        <w:t xml:space="preserve">16.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25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или результатов регионального проекта, а также в случае сокращения размера Субсидии.</w:t>
      </w:r>
    </w:p>
    <w:p>
      <w:pPr>
        <w:pStyle w:val="0"/>
        <w:spacing w:before="200" w:line-rule="auto"/>
        <w:ind w:firstLine="540"/>
        <w:jc w:val="both"/>
      </w:pPr>
      <w:r>
        <w:rPr>
          <w:sz w:val="20"/>
        </w:rPr>
        <w:t xml:space="preserve">17.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18. 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19. Результатом использования Субсидии является достижение значения показателя "Количество созданных (реконструированных) и капитально отремонтированных объектов организаций культуры, единиц".</w:t>
      </w:r>
    </w:p>
    <w:p>
      <w:pPr>
        <w:pStyle w:val="0"/>
        <w:spacing w:before="200" w:line-rule="auto"/>
        <w:ind w:firstLine="540"/>
        <w:jc w:val="both"/>
      </w:pPr>
      <w:r>
        <w:rPr>
          <w:sz w:val="20"/>
        </w:rPr>
        <w:t xml:space="preserve">Значение показателя результативности использования субсидии устанавливается Соглашением.</w:t>
      </w:r>
    </w:p>
    <w:p>
      <w:pPr>
        <w:pStyle w:val="0"/>
        <w:spacing w:before="200" w:line-rule="auto"/>
        <w:ind w:firstLine="540"/>
        <w:jc w:val="both"/>
      </w:pPr>
      <w:r>
        <w:rPr>
          <w:sz w:val="20"/>
        </w:rPr>
        <w:t xml:space="preserve">20.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21.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22.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25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23.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26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24.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25.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26.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w:history="0" r:id="rId26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26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26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3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27.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28.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26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26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29.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30.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306" w:name="P1306"/>
    <w:bookmarkEnd w:id="1306"/>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ПОДДЕРЖКУ ТВОРЧЕСКОЙ</w:t>
      </w:r>
    </w:p>
    <w:p>
      <w:pPr>
        <w:pStyle w:val="2"/>
        <w:jc w:val="center"/>
      </w:pPr>
      <w:r>
        <w:rPr>
          <w:sz w:val="20"/>
        </w:rPr>
        <w:t xml:space="preserve">ДЕЯТЕЛЬНОСТИ И УКРЕПЛЕНИЕ МАТЕРИАЛЬНО-ТЕХНИЧЕСКОЙ БАЗЫ</w:t>
      </w:r>
    </w:p>
    <w:p>
      <w:pPr>
        <w:pStyle w:val="2"/>
        <w:jc w:val="center"/>
      </w:pPr>
      <w:r>
        <w:rPr>
          <w:sz w:val="20"/>
        </w:rPr>
        <w:t xml:space="preserve">МУНИЦИПАЛЬНЫХ ТЕАТРОВ В НАСЕЛЕННЫХ ПУНКТАХ С ЧИСЛЕННОСТЬЮ</w:t>
      </w:r>
    </w:p>
    <w:p>
      <w:pPr>
        <w:pStyle w:val="2"/>
        <w:jc w:val="center"/>
      </w:pPr>
      <w:r>
        <w:rPr>
          <w:sz w:val="20"/>
        </w:rPr>
        <w:t xml:space="preserve">НАСЕЛЕНИЯ ДО 300 ТЫСЯЧ ЖИТЕЛЕЙ, В ТОМ ЧИСЛЕ ЗА СЧЕТ СРЕДСТВ</w:t>
      </w:r>
    </w:p>
    <w:p>
      <w:pPr>
        <w:pStyle w:val="2"/>
        <w:jc w:val="center"/>
      </w:pPr>
      <w:r>
        <w:rPr>
          <w:sz w:val="20"/>
        </w:rPr>
        <w:t xml:space="preserve">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17.03.2022 </w:t>
            </w:r>
            <w:hyperlink w:history="0" r:id="rId266"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color w:val="392c69"/>
              </w:rPr>
              <w:t xml:space="preserve">,</w:t>
            </w:r>
          </w:p>
          <w:p>
            <w:pPr>
              <w:pStyle w:val="0"/>
              <w:jc w:val="center"/>
            </w:pPr>
            <w:r>
              <w:rPr>
                <w:sz w:val="20"/>
                <w:color w:val="392c69"/>
              </w:rPr>
              <w:t xml:space="preserve">от 01.09.2022 </w:t>
            </w:r>
            <w:hyperlink w:history="0" r:id="rId267"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color w:val="392c69"/>
              </w:rPr>
              <w:t xml:space="preserve">, от 13.01.2023 </w:t>
            </w:r>
            <w:hyperlink w:history="0" r:id="rId268"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автономный округ)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(далее - Субсидия, муниципальные образования), в том числе за счет средств федерального бюджета.</w:t>
      </w:r>
    </w:p>
    <w:p>
      <w:pPr>
        <w:pStyle w:val="0"/>
        <w:jc w:val="both"/>
      </w:pPr>
      <w:r>
        <w:rPr>
          <w:sz w:val="20"/>
        </w:rPr>
        <w:t xml:space="preserve">(в ред. </w:t>
      </w:r>
      <w:hyperlink w:history="0" r:id="rId269"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27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мероприятия 2.5</w:t>
        </w:r>
      </w:hyperlink>
      <w:r>
        <w:rPr>
          <w:sz w:val="20"/>
        </w:rPr>
        <w:t xml:space="preserve"> "Развитие профессионального искусства"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Субсидия предоставляется в целях софинансирования расходных обязательств муниципальных образований, связанных с реализацией мероприятий, предусматривающих поддержку творческой деятельности и укрепление материально-технической базы муниципальных театров, по следующим направлениям:</w:t>
      </w:r>
    </w:p>
    <w:p>
      <w:pPr>
        <w:pStyle w:val="0"/>
        <w:jc w:val="both"/>
      </w:pPr>
      <w:r>
        <w:rPr>
          <w:sz w:val="20"/>
        </w:rPr>
        <w:t xml:space="preserve">(в ред. постановлений Правительства ХМАО - Югры от 17.03.2022 </w:t>
      </w:r>
      <w:hyperlink w:history="0" r:id="rId271"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93-п</w:t>
        </w:r>
      </w:hyperlink>
      <w:r>
        <w:rPr>
          <w:sz w:val="20"/>
        </w:rPr>
        <w:t xml:space="preserve">, от 01.09.2022 </w:t>
      </w:r>
      <w:hyperlink w:history="0" r:id="rId272"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rPr>
        <w:t xml:space="preserve">)</w:t>
      </w:r>
    </w:p>
    <w:p>
      <w:pPr>
        <w:pStyle w:val="0"/>
        <w:spacing w:before="200" w:line-rule="auto"/>
        <w:ind w:firstLine="540"/>
        <w:jc w:val="both"/>
      </w:pPr>
      <w:r>
        <w:rPr>
          <w:sz w:val="20"/>
        </w:rPr>
        <w:t xml:space="preserve">а) создание новых постановок и показ спектаклей на стационаре (далее - творческие проекты). При этом предусматриваются:</w:t>
      </w:r>
    </w:p>
    <w:p>
      <w:pPr>
        <w:pStyle w:val="0"/>
        <w:spacing w:before="200" w:line-rule="auto"/>
        <w:ind w:firstLine="540"/>
        <w:jc w:val="both"/>
      </w:pPr>
      <w:r>
        <w:rPr>
          <w:sz w:val="20"/>
        </w:rPr>
        <w:t xml:space="preserve">оплата труда сотрудников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оплата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оплата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pPr>
        <w:pStyle w:val="0"/>
        <w:spacing w:before="200" w:line-rule="auto"/>
        <w:ind w:firstLine="540"/>
        <w:jc w:val="both"/>
      </w:pPr>
      <w:r>
        <w:rPr>
          <w:sz w:val="20"/>
        </w:rPr>
        <w:t xml:space="preserve">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pPr>
        <w:pStyle w:val="0"/>
        <w:spacing w:before="200" w:line-rule="auto"/>
        <w:ind w:firstLine="540"/>
        <w:jc w:val="both"/>
      </w:pPr>
      <w:r>
        <w:rPr>
          <w:sz w:val="20"/>
        </w:rPr>
        <w:t xml:space="preserve">оплата работ (услуг), связанных со съемками и онлайн-показами творческих проектов;</w:t>
      </w:r>
    </w:p>
    <w:p>
      <w:pPr>
        <w:pStyle w:val="0"/>
        <w:spacing w:before="200" w:line-rule="auto"/>
        <w:ind w:firstLine="540"/>
        <w:jc w:val="both"/>
      </w:pPr>
      <w:r>
        <w:rPr>
          <w:sz w:val="20"/>
        </w:rPr>
        <w:t xml:space="preserve">оплата работ (услуг) по обеспечению тифлокомментирования и сурдоперевода творческих проектов;</w:t>
      </w:r>
    </w:p>
    <w:p>
      <w:pPr>
        <w:pStyle w:val="0"/>
        <w:spacing w:before="200" w:line-rule="auto"/>
        <w:ind w:firstLine="540"/>
        <w:jc w:val="both"/>
      </w:pPr>
      <w:r>
        <w:rPr>
          <w:sz w:val="20"/>
        </w:rPr>
        <w:t xml:space="preserve">уплата налогов и сборов, установленных законодательством Российской Федерации;</w:t>
      </w:r>
    </w:p>
    <w:p>
      <w:pPr>
        <w:pStyle w:val="0"/>
        <w:jc w:val="both"/>
      </w:pPr>
      <w:r>
        <w:rPr>
          <w:sz w:val="20"/>
        </w:rPr>
        <w:t xml:space="preserve">(пп. "а" введен </w:t>
      </w:r>
      <w:hyperlink w:history="0" r:id="rId273"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б) укрепление материально-технической базы муниципальных театров, включая:</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пассажирских и грузопассажирских автобусов для осуществления гастрольной деятельности;</w:t>
      </w:r>
    </w:p>
    <w:p>
      <w:pPr>
        <w:pStyle w:val="0"/>
        <w:spacing w:before="200" w:line-rule="auto"/>
        <w:ind w:firstLine="540"/>
        <w:jc w:val="both"/>
      </w:pPr>
      <w:r>
        <w:rPr>
          <w:sz w:val="20"/>
        </w:rPr>
        <w:t xml:space="preserve">приобретение и установку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необходимого для съемок и онлайн-показов творческих проектов;</w:t>
      </w:r>
    </w:p>
    <w:p>
      <w:pPr>
        <w:pStyle w:val="0"/>
        <w:spacing w:before="200" w:line-rule="auto"/>
        <w:ind w:firstLine="540"/>
        <w:jc w:val="both"/>
      </w:pPr>
      <w:r>
        <w:rPr>
          <w:sz w:val="20"/>
        </w:rPr>
        <w:t xml:space="preserve">приобретение автоматических устройств для проведения расчетов с целью приобретения билетов и контрольно-кассовой техники (в том числе платежные терминалы для оплаты банковскими картами, онлайн-кассы, электронные кассиры);</w:t>
      </w:r>
    </w:p>
    <w:p>
      <w:pPr>
        <w:pStyle w:val="0"/>
        <w:spacing w:before="200" w:line-rule="auto"/>
        <w:ind w:firstLine="540"/>
        <w:jc w:val="both"/>
      </w:pPr>
      <w:r>
        <w:rPr>
          <w:sz w:val="20"/>
        </w:rPr>
        <w:t xml:space="preserve">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pPr>
        <w:pStyle w:val="0"/>
        <w:spacing w:before="200" w:line-rule="auto"/>
        <w:ind w:firstLine="540"/>
        <w:jc w:val="both"/>
      </w:pPr>
      <w:r>
        <w:rPr>
          <w:sz w:val="20"/>
        </w:rPr>
        <w:t xml:space="preserve">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pPr>
        <w:pStyle w:val="0"/>
        <w:jc w:val="both"/>
      </w:pPr>
      <w:r>
        <w:rPr>
          <w:sz w:val="20"/>
        </w:rPr>
        <w:t xml:space="preserve">(пп. "б" введен </w:t>
      </w:r>
      <w:hyperlink w:history="0" r:id="rId274"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3. Субсидия предоставляется по результатам отбора заявок муниципальных образований, порядок и сроки проведения которого, а также форму указанной заявки утверждает приказом Департамент культуры автономного округа (далее - Департамент), который он размещает на своем официальном сайте и направляет в муниципальные образования посредством системы автоматизации делопроизводства и электронного документооборота "Дело".</w:t>
      </w:r>
    </w:p>
    <w:p>
      <w:pPr>
        <w:pStyle w:val="0"/>
        <w:spacing w:before="200" w:line-rule="auto"/>
        <w:ind w:firstLine="540"/>
        <w:jc w:val="both"/>
      </w:pPr>
      <w:r>
        <w:rPr>
          <w:sz w:val="20"/>
        </w:rPr>
        <w:t xml:space="preserve">Предоставление Субсидий осуществляется в году, следующем за годом проведения отбора.</w:t>
      </w:r>
    </w:p>
    <w:p>
      <w:pPr>
        <w:pStyle w:val="0"/>
        <w:jc w:val="both"/>
      </w:pPr>
      <w:r>
        <w:rPr>
          <w:sz w:val="20"/>
        </w:rPr>
        <w:t xml:space="preserve">(п. 3 в ред. </w:t>
      </w:r>
      <w:hyperlink w:history="0" r:id="rId275"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направление в Департамент заявки о предоставлении Субсидии в срок и по форме, установленной приказом Департамента, с обоснованием потребности на поддержку творческой деятельности и укрепление материально-технической базы муниципальных театров, подписанной главой муниципального образования либо уполномоченным должностным лицом;</w:t>
      </w:r>
    </w:p>
    <w:p>
      <w:pPr>
        <w:pStyle w:val="0"/>
        <w:jc w:val="both"/>
      </w:pPr>
      <w:r>
        <w:rPr>
          <w:sz w:val="20"/>
        </w:rPr>
        <w:t xml:space="preserve">(абзац введен </w:t>
      </w:r>
      <w:hyperlink w:history="0" r:id="rId276"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Критериями конкурсного отбора являются:</w:t>
      </w:r>
    </w:p>
    <w:p>
      <w:pPr>
        <w:pStyle w:val="0"/>
        <w:spacing w:before="200" w:line-rule="auto"/>
        <w:ind w:firstLine="540"/>
        <w:jc w:val="both"/>
      </w:pPr>
      <w:r>
        <w:rPr>
          <w:sz w:val="20"/>
        </w:rPr>
        <w:t xml:space="preserve">наличие профессионального репертуарного муниципального театра с постоянной труппой, находящегося в населенном пункте автономного округа численностью населения до 300 тысяч человек;</w:t>
      </w:r>
    </w:p>
    <w:p>
      <w:pPr>
        <w:pStyle w:val="0"/>
        <w:spacing w:before="200" w:line-rule="auto"/>
        <w:ind w:firstLine="540"/>
        <w:jc w:val="both"/>
      </w:pPr>
      <w:r>
        <w:rPr>
          <w:sz w:val="20"/>
        </w:rPr>
        <w:t xml:space="preserve">обоснование потребности на поддержку творческой деятельности и укрепление материально-технической базы муниципальных театров.</w:t>
      </w:r>
    </w:p>
    <w:p>
      <w:pPr>
        <w:pStyle w:val="0"/>
        <w:jc w:val="both"/>
      </w:pPr>
      <w:r>
        <w:rPr>
          <w:sz w:val="20"/>
        </w:rPr>
        <w:t xml:space="preserve">(в ред. </w:t>
      </w:r>
      <w:hyperlink w:history="0" r:id="rId277"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6.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Абзац утратил силу с 13 января 2023 года. - </w:t>
      </w:r>
      <w:hyperlink w:history="0" r:id="rId278"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7. Муниципальное образование не может получить Субсидию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которые на текущий финансовый год получили поддержку в соответствии с Порядком предоставления субсидии бюджетам городских округов и муниципальных районов Ханты-Мансийского автономного округа - Югры на поддержку творческой деятельности и укрепление материально-технической базы и техническое оснащение детских и кукольных театров.</w:t>
      </w:r>
    </w:p>
    <w:p>
      <w:pPr>
        <w:pStyle w:val="0"/>
        <w:jc w:val="both"/>
      </w:pPr>
      <w:r>
        <w:rPr>
          <w:sz w:val="20"/>
        </w:rPr>
        <w:t xml:space="preserve">(в ред. </w:t>
      </w:r>
      <w:hyperlink w:history="0" r:id="rId279"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p>
      <w:pPr>
        <w:pStyle w:val="0"/>
        <w:spacing w:before="200" w:line-rule="auto"/>
        <w:ind w:firstLine="540"/>
        <w:jc w:val="both"/>
      </w:pPr>
      <w:r>
        <w:rPr>
          <w:sz w:val="20"/>
        </w:rPr>
        <w:t xml:space="preserve">8. Объем Субсидии (Vi), предоставляемой i-му муниципальному образованию автономного округа на соответствующий финансовый год, определяется по формуле:</w:t>
      </w:r>
    </w:p>
    <w:p>
      <w:pPr>
        <w:pStyle w:val="0"/>
        <w:ind w:firstLine="540"/>
        <w:jc w:val="both"/>
      </w:pPr>
      <w:r>
        <w:rPr>
          <w:sz w:val="20"/>
        </w:rPr>
      </w:r>
    </w:p>
    <w:p>
      <w:pPr>
        <w:pStyle w:val="0"/>
        <w:ind w:firstLine="540"/>
        <w:jc w:val="both"/>
      </w:pPr>
      <w:r>
        <w:rPr>
          <w:sz w:val="20"/>
        </w:rPr>
        <w:t xml:space="preserve">Vi = (Vобщ * Pi) / P, где:</w:t>
      </w:r>
    </w:p>
    <w:p>
      <w:pPr>
        <w:pStyle w:val="0"/>
        <w:ind w:firstLine="540"/>
        <w:jc w:val="both"/>
      </w:pPr>
      <w:r>
        <w:rPr>
          <w:sz w:val="20"/>
        </w:rPr>
      </w:r>
    </w:p>
    <w:p>
      <w:pPr>
        <w:pStyle w:val="0"/>
        <w:ind w:firstLine="540"/>
        <w:jc w:val="both"/>
      </w:pPr>
      <w:r>
        <w:rPr>
          <w:sz w:val="20"/>
        </w:rPr>
        <w:t xml:space="preserve">Vi - объем субсидии из бюджета автономного округа бюджету i-го муниципального образования в том числе за счет средств федерального бюджета;</w:t>
      </w:r>
    </w:p>
    <w:p>
      <w:pPr>
        <w:pStyle w:val="0"/>
        <w:spacing w:before="200" w:line-rule="auto"/>
        <w:ind w:firstLine="540"/>
        <w:jc w:val="both"/>
      </w:pPr>
      <w:r>
        <w:rPr>
          <w:sz w:val="20"/>
        </w:rPr>
        <w:t xml:space="preserve">Vобщ - общий объем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на соответствующий финансовый год;</w:t>
      </w:r>
    </w:p>
    <w:p>
      <w:pPr>
        <w:pStyle w:val="0"/>
        <w:spacing w:before="200" w:line-rule="auto"/>
        <w:ind w:firstLine="540"/>
        <w:jc w:val="both"/>
      </w:pPr>
      <w:r>
        <w:rPr>
          <w:sz w:val="20"/>
        </w:rPr>
        <w:t xml:space="preserve">Pi - объем заявленной финансовой потребности i-го муниципального образования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на соответствующий финансовый год;</w:t>
      </w:r>
    </w:p>
    <w:p>
      <w:pPr>
        <w:pStyle w:val="0"/>
        <w:spacing w:before="200" w:line-rule="auto"/>
        <w:ind w:firstLine="540"/>
        <w:jc w:val="both"/>
      </w:pPr>
      <w:r>
        <w:rPr>
          <w:sz w:val="20"/>
        </w:rPr>
        <w:t xml:space="preserve">Р - общий объем заявленной финансовой потребности i-го муниципального образования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жителей на соответствующий финансовый год.</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1372" w:tooltip="9. Уровень софинансирования расходного обязательства бюджета i-го муниципального образования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разделом IV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
        <w:r>
          <w:rPr>
            <w:sz w:val="20"/>
            <w:color w:val="0000ff"/>
          </w:rPr>
          <w:t xml:space="preserve">пункте 9</w:t>
        </w:r>
      </w:hyperlink>
      <w:r>
        <w:rPr>
          <w:sz w:val="20"/>
        </w:rPr>
        <w:t xml:space="preserve"> Порядка.</w:t>
      </w:r>
    </w:p>
    <w:p>
      <w:pPr>
        <w:pStyle w:val="0"/>
        <w:jc w:val="both"/>
      </w:pPr>
      <w:r>
        <w:rPr>
          <w:sz w:val="20"/>
        </w:rPr>
        <w:t xml:space="preserve">(п. 8 в ред. </w:t>
      </w:r>
      <w:hyperlink w:history="0" r:id="rId280"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bookmarkStart w:id="1372" w:name="P1372"/>
    <w:bookmarkEnd w:id="1372"/>
    <w:p>
      <w:pPr>
        <w:pStyle w:val="0"/>
        <w:spacing w:before="200" w:line-rule="auto"/>
        <w:ind w:firstLine="540"/>
        <w:jc w:val="both"/>
      </w:pPr>
      <w:r>
        <w:rPr>
          <w:sz w:val="20"/>
        </w:rPr>
        <w:t xml:space="preserve">9. Уровень софинансирования расходного обязательства бюджета i-го муниципального образования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w:history="0" r:id="rId281"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098"/>
        <w:gridCol w:w="3543"/>
      </w:tblGrid>
      <w:tr>
        <w:tc>
          <w:tcPr>
            <w:tcW w:w="3402" w:type="dxa"/>
          </w:tcPr>
          <w:p>
            <w:pPr>
              <w:pStyle w:val="0"/>
              <w:jc w:val="center"/>
            </w:pPr>
            <w:r>
              <w:rPr>
                <w:sz w:val="20"/>
              </w:rPr>
              <w:t xml:space="preserve">Уровень расчетной бюджетной обеспеченности муниципального образования</w:t>
            </w:r>
          </w:p>
        </w:tc>
        <w:tc>
          <w:tcPr>
            <w:tcW w:w="2098" w:type="dxa"/>
          </w:tcPr>
          <w:p>
            <w:pPr>
              <w:pStyle w:val="0"/>
              <w:jc w:val="center"/>
            </w:pPr>
            <w:r>
              <w:rPr>
                <w:sz w:val="20"/>
              </w:rPr>
              <w:t xml:space="preserve">Группа муниципального образования</w:t>
            </w:r>
          </w:p>
        </w:tc>
        <w:tc>
          <w:tcPr>
            <w:tcW w:w="3543"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 (Yi)</w:t>
            </w:r>
          </w:p>
        </w:tc>
      </w:tr>
      <w:tr>
        <w:tc>
          <w:tcPr>
            <w:tcW w:w="3402" w:type="dxa"/>
          </w:tcPr>
          <w:p>
            <w:pPr>
              <w:pStyle w:val="0"/>
            </w:pPr>
            <w:r>
              <w:rPr>
                <w:sz w:val="20"/>
              </w:rPr>
              <w:t xml:space="preserve">от 0 до 1,300</w:t>
            </w:r>
          </w:p>
        </w:tc>
        <w:tc>
          <w:tcPr>
            <w:tcW w:w="2098" w:type="dxa"/>
          </w:tcPr>
          <w:p>
            <w:pPr>
              <w:pStyle w:val="0"/>
            </w:pPr>
            <w:r>
              <w:rPr>
                <w:sz w:val="20"/>
              </w:rPr>
              <w:t xml:space="preserve">1</w:t>
            </w:r>
          </w:p>
        </w:tc>
        <w:tc>
          <w:tcPr>
            <w:tcW w:w="3543" w:type="dxa"/>
          </w:tcPr>
          <w:p>
            <w:pPr>
              <w:pStyle w:val="0"/>
            </w:pPr>
            <w:r>
              <w:rPr>
                <w:sz w:val="20"/>
              </w:rPr>
              <w:t xml:space="preserve">95%</w:t>
            </w:r>
          </w:p>
        </w:tc>
      </w:tr>
      <w:tr>
        <w:tc>
          <w:tcPr>
            <w:tcW w:w="3402" w:type="dxa"/>
          </w:tcPr>
          <w:p>
            <w:pPr>
              <w:pStyle w:val="0"/>
            </w:pPr>
            <w:r>
              <w:rPr>
                <w:sz w:val="20"/>
              </w:rPr>
              <w:t xml:space="preserve">от 1,301 до 1,500</w:t>
            </w:r>
          </w:p>
        </w:tc>
        <w:tc>
          <w:tcPr>
            <w:tcW w:w="2098" w:type="dxa"/>
          </w:tcPr>
          <w:p>
            <w:pPr>
              <w:pStyle w:val="0"/>
            </w:pPr>
            <w:r>
              <w:rPr>
                <w:sz w:val="20"/>
              </w:rPr>
              <w:t xml:space="preserve">2</w:t>
            </w:r>
          </w:p>
        </w:tc>
        <w:tc>
          <w:tcPr>
            <w:tcW w:w="3543" w:type="dxa"/>
          </w:tcPr>
          <w:p>
            <w:pPr>
              <w:pStyle w:val="0"/>
            </w:pPr>
            <w:r>
              <w:rPr>
                <w:sz w:val="20"/>
              </w:rPr>
              <w:t xml:space="preserve">90%</w:t>
            </w:r>
          </w:p>
        </w:tc>
      </w:tr>
      <w:tr>
        <w:tc>
          <w:tcPr>
            <w:tcW w:w="3402" w:type="dxa"/>
          </w:tcPr>
          <w:p>
            <w:pPr>
              <w:pStyle w:val="0"/>
            </w:pPr>
            <w:r>
              <w:rPr>
                <w:sz w:val="20"/>
              </w:rPr>
              <w:t xml:space="preserve">Свыше 1,501</w:t>
            </w:r>
          </w:p>
        </w:tc>
        <w:tc>
          <w:tcPr>
            <w:tcW w:w="2098" w:type="dxa"/>
          </w:tcPr>
          <w:p>
            <w:pPr>
              <w:pStyle w:val="0"/>
            </w:pPr>
            <w:r>
              <w:rPr>
                <w:sz w:val="20"/>
              </w:rPr>
              <w:t xml:space="preserve">3</w:t>
            </w:r>
          </w:p>
        </w:tc>
        <w:tc>
          <w:tcPr>
            <w:tcW w:w="3543" w:type="dxa"/>
          </w:tcPr>
          <w:p>
            <w:pPr>
              <w:pStyle w:val="0"/>
            </w:pPr>
            <w:r>
              <w:rPr>
                <w:sz w:val="20"/>
              </w:rPr>
              <w:t xml:space="preserve">85%</w:t>
            </w:r>
          </w:p>
        </w:tc>
      </w:tr>
    </w:tbl>
    <w:p>
      <w:pPr>
        <w:pStyle w:val="0"/>
        <w:ind w:firstLine="540"/>
        <w:jc w:val="both"/>
      </w:pPr>
      <w:r>
        <w:rPr>
          <w:sz w:val="20"/>
        </w:rPr>
      </w:r>
    </w:p>
    <w:p>
      <w:pPr>
        <w:pStyle w:val="0"/>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pPr>
        <w:pStyle w:val="0"/>
        <w:spacing w:before="200" w:line-rule="auto"/>
        <w:ind w:firstLine="540"/>
        <w:jc w:val="both"/>
      </w:pPr>
      <w:r>
        <w:rPr>
          <w:sz w:val="20"/>
        </w:rPr>
        <w:t xml:space="preserve">10.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11. Соглашение должно содержать информацию, указанную в </w:t>
      </w:r>
      <w:hyperlink w:history="0" r:id="rId28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12.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13.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14.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28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15.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28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или результатов регионального проекта, а также в случае сокращения размера Субсидии.</w:t>
      </w:r>
    </w:p>
    <w:p>
      <w:pPr>
        <w:pStyle w:val="0"/>
        <w:spacing w:before="200" w:line-rule="auto"/>
        <w:ind w:firstLine="540"/>
        <w:jc w:val="both"/>
      </w:pPr>
      <w:r>
        <w:rPr>
          <w:sz w:val="20"/>
        </w:rPr>
        <w:t xml:space="preserve">16.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17. Результатом использования Субсидии является количество посещений организаций культуры автономного округа, которое устанавливается Соглашением.</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18.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19.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28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28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22.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23. Ответственность за достоверность представляемых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24.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предоставляются Субсидии, а также нарушение уровня софинансирования, от применения мер ответственности, предусмотренных в </w:t>
      </w:r>
      <w:hyperlink w:history="0" r:id="rId28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28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28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3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25.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26.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29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29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27.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28.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425" w:name="P1425"/>
    <w:bookmarkEnd w:id="1425"/>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ТЕХНИЧЕСКОЕ ОСНАЩЕНИЕ</w:t>
      </w:r>
    </w:p>
    <w:p>
      <w:pPr>
        <w:pStyle w:val="2"/>
        <w:jc w:val="center"/>
      </w:pPr>
      <w:r>
        <w:rPr>
          <w:sz w:val="20"/>
        </w:rPr>
        <w:t xml:space="preserve">МУНИЦИПАЛЬНЫХ МУЗЕЕВ, В ТОМ ЧИСЛЕ ЗА СЧЕТ СРЕДСТВ</w:t>
      </w:r>
    </w:p>
    <w:p>
      <w:pPr>
        <w:pStyle w:val="2"/>
        <w:jc w:val="center"/>
      </w:pPr>
      <w:r>
        <w:rPr>
          <w:sz w:val="20"/>
        </w:rPr>
        <w:t xml:space="preserve">ФЕДЕРАЛЬНОГО БЮДЖЕТА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01.09.2022 </w:t>
            </w:r>
            <w:hyperlink w:history="0" r:id="rId292"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422-п</w:t>
              </w:r>
            </w:hyperlink>
            <w:r>
              <w:rPr>
                <w:sz w:val="20"/>
                <w:color w:val="392c69"/>
              </w:rPr>
              <w:t xml:space="preserve">,</w:t>
            </w:r>
          </w:p>
          <w:p>
            <w:pPr>
              <w:pStyle w:val="0"/>
              <w:jc w:val="center"/>
            </w:pPr>
            <w:r>
              <w:rPr>
                <w:sz w:val="20"/>
                <w:color w:val="392c69"/>
              </w:rPr>
              <w:t xml:space="preserve">от 13.01.2023 </w:t>
            </w:r>
            <w:hyperlink w:history="0" r:id="rId293"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(далее - автономный округ) бюджетам городских округов и муниципальных районов автономного округа (далее - муниципальные образования, местный бюджет) на техническое оснащение муниципальных музеев, в том числе за счет средств федерального бюджета (далее - Субсидия).</w:t>
      </w:r>
    </w:p>
    <w:p>
      <w:pPr>
        <w:pStyle w:val="0"/>
        <w:spacing w:before="200" w:line-rule="auto"/>
        <w:ind w:firstLine="540"/>
        <w:jc w:val="both"/>
      </w:pPr>
      <w:r>
        <w:rPr>
          <w:sz w:val="20"/>
        </w:rPr>
        <w:t xml:space="preserve">В Порядке под муниципальными музеями понимаются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p>
      <w:pPr>
        <w:pStyle w:val="0"/>
        <w:jc w:val="both"/>
      </w:pPr>
      <w:r>
        <w:rPr>
          <w:sz w:val="20"/>
        </w:rPr>
        <w:t xml:space="preserve">(абзац введен </w:t>
      </w:r>
      <w:hyperlink w:history="0" r:id="rId294"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связанных с реализацией мероприятий муниципальных программ, предусматривающих техническое оснащение муниципальных музеев по следующим направлениям:</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pPr>
        <w:pStyle w:val="0"/>
        <w:jc w:val="both"/>
      </w:pPr>
      <w:r>
        <w:rPr>
          <w:sz w:val="20"/>
        </w:rPr>
        <w:t xml:space="preserve">(п. 2 в ред. </w:t>
      </w:r>
      <w:hyperlink w:history="0" r:id="rId295"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3.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регионального </w:t>
      </w:r>
      <w:hyperlink w:history="0" r:id="rId296"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проекта</w:t>
        </w:r>
      </w:hyperlink>
      <w:r>
        <w:rPr>
          <w:sz w:val="20"/>
        </w:rPr>
        <w:t xml:space="preserve"> "Культурная среда" (далее - региональный проект) подпрограммы 1 "Модернизация и развитие учреждений и организаций культуры"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4. Субсидия предоставляется по результатам отбора заявок муниципальных образований, порядок и сроки проведения которого, а также форму указанной заявки утверждает приказом Департамент культуры автономного округа (далее - Департамент), который он размещает на своем официальном сайте и направляет в муниципальные образования посредством системы автоматизации делопроизводства и электронного документооборота "Дело".</w:t>
      </w:r>
    </w:p>
    <w:p>
      <w:pPr>
        <w:pStyle w:val="0"/>
        <w:spacing w:before="200" w:line-rule="auto"/>
        <w:ind w:firstLine="540"/>
        <w:jc w:val="both"/>
      </w:pPr>
      <w:r>
        <w:rPr>
          <w:sz w:val="20"/>
        </w:rPr>
        <w:t xml:space="preserve">Предоставление Субсидий осуществляется в году, следующем за годом проведения отбора.</w:t>
      </w:r>
    </w:p>
    <w:p>
      <w:pPr>
        <w:pStyle w:val="0"/>
        <w:jc w:val="both"/>
      </w:pPr>
      <w:r>
        <w:rPr>
          <w:sz w:val="20"/>
        </w:rPr>
        <w:t xml:space="preserve">(п. 4 в ред. </w:t>
      </w:r>
      <w:hyperlink w:history="0" r:id="rId297"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5. Критериями отбора для предоставления Субсидий являются:</w:t>
      </w:r>
    </w:p>
    <w:p>
      <w:pPr>
        <w:pStyle w:val="0"/>
        <w:spacing w:before="200" w:line-rule="auto"/>
        <w:ind w:firstLine="540"/>
        <w:jc w:val="both"/>
      </w:pPr>
      <w:r>
        <w:rPr>
          <w:sz w:val="20"/>
        </w:rPr>
        <w:t xml:space="preserve">наличие в муниципальном образовании муниципального музея;</w:t>
      </w:r>
    </w:p>
    <w:p>
      <w:pPr>
        <w:pStyle w:val="0"/>
        <w:spacing w:before="200" w:line-rule="auto"/>
        <w:ind w:firstLine="540"/>
        <w:jc w:val="both"/>
      </w:pPr>
      <w:r>
        <w:rPr>
          <w:sz w:val="20"/>
        </w:rPr>
        <w:t xml:space="preserve">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w:t>
      </w:r>
    </w:p>
    <w:p>
      <w:pPr>
        <w:pStyle w:val="0"/>
        <w:spacing w:before="200" w:line-rule="auto"/>
        <w:ind w:firstLine="540"/>
        <w:jc w:val="both"/>
      </w:pPr>
      <w:r>
        <w:rPr>
          <w:sz w:val="20"/>
        </w:rPr>
        <w:t xml:space="preserve">обоснование потребности в техническом оснащении музея и затрат стоимости необходимого оборудования.</w:t>
      </w:r>
    </w:p>
    <w:p>
      <w:pPr>
        <w:pStyle w:val="0"/>
        <w:jc w:val="both"/>
      </w:pPr>
      <w:r>
        <w:rPr>
          <w:sz w:val="20"/>
        </w:rPr>
        <w:t xml:space="preserve">(п. 5 в ред. </w:t>
      </w:r>
      <w:hyperlink w:history="0" r:id="rId298"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государственной </w:t>
      </w:r>
      <w:hyperlink w:history="0" r:id="rId29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автономного округа "Культурное пространство", утвержденной постановлением Правительства автономного округа от 31 октября 2021 года N 470-п;</w:t>
      </w:r>
    </w:p>
    <w:p>
      <w:pPr>
        <w:pStyle w:val="0"/>
        <w:jc w:val="both"/>
      </w:pPr>
      <w:r>
        <w:rPr>
          <w:sz w:val="20"/>
        </w:rPr>
        <w:t xml:space="preserve">(в ред. </w:t>
      </w:r>
      <w:hyperlink w:history="0" r:id="rId300"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направление в Департамент заявки о предоставлении Субсидии в срок и по форме, установленной приказом Департамента, с обоснованием потребности в реализации мероприятий, предусматривающих техническое оснащение муниципальных музеев, подписанной главой муниципального образования либо уполномоченным должностным лицом;</w:t>
      </w:r>
    </w:p>
    <w:p>
      <w:pPr>
        <w:pStyle w:val="0"/>
        <w:jc w:val="both"/>
      </w:pPr>
      <w:r>
        <w:rPr>
          <w:sz w:val="20"/>
        </w:rPr>
        <w:t xml:space="preserve">(абзац введен </w:t>
      </w:r>
      <w:hyperlink w:history="0" r:id="rId301"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01.09.2022 N 422-п)</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(далее - Соглашение),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Распределение Субсидий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между местными бюджетами объем Субсидии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Абзац утратил силу с 13 января 2023 года. - </w:t>
      </w:r>
      <w:hyperlink w:history="0" r:id="rId302"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spacing w:before="200" w:line-rule="auto"/>
        <w:ind w:firstLine="540"/>
        <w:jc w:val="both"/>
      </w:pPr>
      <w:r>
        <w:rPr>
          <w:sz w:val="20"/>
        </w:rPr>
        <w:t xml:space="preserve">8. Утратил силу. - </w:t>
      </w:r>
      <w:hyperlink w:history="0" r:id="rId303"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w:t>
        </w:r>
      </w:hyperlink>
      <w:r>
        <w:rPr>
          <w:sz w:val="20"/>
        </w:rPr>
        <w:t xml:space="preserve"> Правительства ХМАО - Югры от 01.09.2022 N 422-п:</w:t>
      </w:r>
    </w:p>
    <w:bookmarkStart w:id="1468" w:name="P1468"/>
    <w:bookmarkEnd w:id="1468"/>
    <w:p>
      <w:pPr>
        <w:pStyle w:val="0"/>
        <w:spacing w:before="200" w:line-rule="auto"/>
        <w:ind w:firstLine="540"/>
        <w:jc w:val="both"/>
      </w:pPr>
      <w:r>
        <w:rPr>
          <w:sz w:val="20"/>
        </w:rPr>
        <w:t xml:space="preserve">9.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w:t>
      </w:r>
      <w:hyperlink w:history="0" r:id="rId304"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2267"/>
        <w:gridCol w:w="3686"/>
      </w:tblGrid>
      <w:tr>
        <w:tc>
          <w:tcPr>
            <w:tcW w:w="3119" w:type="dxa"/>
          </w:tcPr>
          <w:p>
            <w:pPr>
              <w:pStyle w:val="0"/>
              <w:jc w:val="center"/>
            </w:pPr>
            <w:r>
              <w:rPr>
                <w:sz w:val="20"/>
              </w:rPr>
              <w:t xml:space="preserve">Уровень расчетной бюджетной обеспеченности муниципального образования</w:t>
            </w:r>
          </w:p>
        </w:tc>
        <w:tc>
          <w:tcPr>
            <w:tcW w:w="2267" w:type="dxa"/>
          </w:tcPr>
          <w:p>
            <w:pPr>
              <w:pStyle w:val="0"/>
              <w:jc w:val="center"/>
            </w:pPr>
            <w:r>
              <w:rPr>
                <w:sz w:val="20"/>
              </w:rPr>
              <w:t xml:space="preserve">Группа муниципального образования</w:t>
            </w:r>
          </w:p>
        </w:tc>
        <w:tc>
          <w:tcPr>
            <w:tcW w:w="3686"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 (Yi)</w:t>
            </w:r>
          </w:p>
        </w:tc>
      </w:tr>
      <w:tr>
        <w:tc>
          <w:tcPr>
            <w:tcW w:w="3119" w:type="dxa"/>
          </w:tcPr>
          <w:p>
            <w:pPr>
              <w:pStyle w:val="0"/>
              <w:jc w:val="both"/>
            </w:pPr>
            <w:r>
              <w:rPr>
                <w:sz w:val="20"/>
              </w:rPr>
              <w:t xml:space="preserve">от 0 до 1,300</w:t>
            </w:r>
          </w:p>
        </w:tc>
        <w:tc>
          <w:tcPr>
            <w:tcW w:w="2267" w:type="dxa"/>
          </w:tcPr>
          <w:p>
            <w:pPr>
              <w:pStyle w:val="0"/>
              <w:jc w:val="both"/>
            </w:pPr>
            <w:r>
              <w:rPr>
                <w:sz w:val="20"/>
              </w:rPr>
              <w:t xml:space="preserve">1</w:t>
            </w:r>
          </w:p>
        </w:tc>
        <w:tc>
          <w:tcPr>
            <w:tcW w:w="3686" w:type="dxa"/>
          </w:tcPr>
          <w:p>
            <w:pPr>
              <w:pStyle w:val="0"/>
              <w:jc w:val="center"/>
            </w:pPr>
            <w:r>
              <w:rPr>
                <w:sz w:val="20"/>
              </w:rPr>
              <w:t xml:space="preserve">95%</w:t>
            </w:r>
          </w:p>
        </w:tc>
      </w:tr>
      <w:tr>
        <w:tc>
          <w:tcPr>
            <w:tcW w:w="3119" w:type="dxa"/>
          </w:tcPr>
          <w:p>
            <w:pPr>
              <w:pStyle w:val="0"/>
              <w:jc w:val="both"/>
            </w:pPr>
            <w:r>
              <w:rPr>
                <w:sz w:val="20"/>
              </w:rPr>
              <w:t xml:space="preserve">от 1,301 до 1,500</w:t>
            </w:r>
          </w:p>
        </w:tc>
        <w:tc>
          <w:tcPr>
            <w:tcW w:w="2267" w:type="dxa"/>
          </w:tcPr>
          <w:p>
            <w:pPr>
              <w:pStyle w:val="0"/>
              <w:jc w:val="both"/>
            </w:pPr>
            <w:r>
              <w:rPr>
                <w:sz w:val="20"/>
              </w:rPr>
              <w:t xml:space="preserve">2</w:t>
            </w:r>
          </w:p>
        </w:tc>
        <w:tc>
          <w:tcPr>
            <w:tcW w:w="3686" w:type="dxa"/>
          </w:tcPr>
          <w:p>
            <w:pPr>
              <w:pStyle w:val="0"/>
              <w:jc w:val="center"/>
            </w:pPr>
            <w:r>
              <w:rPr>
                <w:sz w:val="20"/>
              </w:rPr>
              <w:t xml:space="preserve">90%</w:t>
            </w:r>
          </w:p>
        </w:tc>
      </w:tr>
      <w:tr>
        <w:tc>
          <w:tcPr>
            <w:tcW w:w="3119" w:type="dxa"/>
          </w:tcPr>
          <w:p>
            <w:pPr>
              <w:pStyle w:val="0"/>
              <w:jc w:val="both"/>
            </w:pPr>
            <w:r>
              <w:rPr>
                <w:sz w:val="20"/>
              </w:rPr>
              <w:t xml:space="preserve">свыше 1,501</w:t>
            </w:r>
          </w:p>
        </w:tc>
        <w:tc>
          <w:tcPr>
            <w:tcW w:w="2267" w:type="dxa"/>
          </w:tcPr>
          <w:p>
            <w:pPr>
              <w:pStyle w:val="0"/>
              <w:jc w:val="both"/>
            </w:pPr>
            <w:r>
              <w:rPr>
                <w:sz w:val="20"/>
              </w:rPr>
              <w:t xml:space="preserve">3</w:t>
            </w:r>
          </w:p>
        </w:tc>
        <w:tc>
          <w:tcPr>
            <w:tcW w:w="3686" w:type="dxa"/>
          </w:tcPr>
          <w:p>
            <w:pPr>
              <w:pStyle w:val="0"/>
              <w:jc w:val="center"/>
            </w:pPr>
            <w:r>
              <w:rPr>
                <w:sz w:val="20"/>
              </w:rPr>
              <w:t xml:space="preserve">85%</w:t>
            </w:r>
          </w:p>
        </w:tc>
      </w:tr>
    </w:tbl>
    <w:p>
      <w:pPr>
        <w:pStyle w:val="0"/>
        <w:ind w:firstLine="540"/>
        <w:jc w:val="both"/>
      </w:pPr>
      <w:r>
        <w:rPr>
          <w:sz w:val="20"/>
        </w:rPr>
      </w:r>
    </w:p>
    <w:p>
      <w:pPr>
        <w:pStyle w:val="0"/>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pPr>
        <w:pStyle w:val="0"/>
        <w:jc w:val="both"/>
      </w:pPr>
      <w:r>
        <w:rPr>
          <w:sz w:val="20"/>
        </w:rPr>
        <w:t xml:space="preserve">(в ред. </w:t>
      </w:r>
      <w:hyperlink w:history="0" r:id="rId305"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10. Объем Субсидии (Vi), предоставляемой i-му муниципальному образованию автономного округа на соответствующий финансовый год, определяется по формуле:</w:t>
      </w:r>
    </w:p>
    <w:p>
      <w:pPr>
        <w:pStyle w:val="0"/>
        <w:ind w:firstLine="540"/>
        <w:jc w:val="both"/>
      </w:pPr>
      <w:r>
        <w:rPr>
          <w:sz w:val="20"/>
        </w:rPr>
      </w:r>
    </w:p>
    <w:p>
      <w:pPr>
        <w:pStyle w:val="0"/>
        <w:ind w:firstLine="540"/>
        <w:jc w:val="both"/>
      </w:pPr>
      <w:r>
        <w:rPr>
          <w:sz w:val="20"/>
        </w:rPr>
        <w:t xml:space="preserve">Vi = Vобщ x Yi, где:</w:t>
      </w:r>
    </w:p>
    <w:p>
      <w:pPr>
        <w:pStyle w:val="0"/>
        <w:ind w:firstLine="540"/>
        <w:jc w:val="both"/>
      </w:pPr>
      <w:r>
        <w:rPr>
          <w:sz w:val="20"/>
        </w:rPr>
      </w:r>
    </w:p>
    <w:p>
      <w:pPr>
        <w:pStyle w:val="0"/>
        <w:ind w:firstLine="540"/>
        <w:jc w:val="both"/>
      </w:pPr>
      <w:r>
        <w:rPr>
          <w:sz w:val="20"/>
        </w:rPr>
        <w:t xml:space="preserve">Vi - объем субсидии, предоставляемой i-му муниципальному образованию автономного округа из бюджета автономного округа, в том числе за счет средств федерального бюджета на соответствующий финансовый год;</w:t>
      </w:r>
    </w:p>
    <w:p>
      <w:pPr>
        <w:pStyle w:val="0"/>
        <w:spacing w:before="200" w:line-rule="auto"/>
        <w:ind w:firstLine="540"/>
        <w:jc w:val="both"/>
      </w:pPr>
      <w:r>
        <w:rPr>
          <w:sz w:val="20"/>
        </w:rPr>
        <w:t xml:space="preserve">Vобщ - общий объем субсидии на техническое оснащение муниципальных музеев на соответствующий финансовый год;</w:t>
      </w:r>
    </w:p>
    <w:p>
      <w:pPr>
        <w:pStyle w:val="0"/>
        <w:spacing w:before="200" w:line-rule="auto"/>
        <w:ind w:firstLine="540"/>
        <w:jc w:val="both"/>
      </w:pPr>
      <w:r>
        <w:rPr>
          <w:sz w:val="20"/>
        </w:rPr>
        <w:t xml:space="preserve">Yi - уровень софинансирования расходного обязательства бюджета i-го муниципального образования из средств бюджета автономного округа.</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отдельного муниципального образования, установленного в </w:t>
      </w:r>
      <w:hyperlink w:history="0" w:anchor="P1468" w:tooltip="9.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й в соответствии с разделом IV Методики распределения дотаций на выравнивание бюджетной обеспеченности муниципальных районов (городских округов), утвержденной закон...">
        <w:r>
          <w:rPr>
            <w:sz w:val="20"/>
            <w:color w:val="0000ff"/>
          </w:rPr>
          <w:t xml:space="preserve">пункте 9</w:t>
        </w:r>
      </w:hyperlink>
      <w:r>
        <w:rPr>
          <w:sz w:val="20"/>
        </w:rPr>
        <w:t xml:space="preserve"> Порядка.</w:t>
      </w:r>
    </w:p>
    <w:p>
      <w:pPr>
        <w:pStyle w:val="0"/>
        <w:jc w:val="both"/>
      </w:pPr>
      <w:r>
        <w:rPr>
          <w:sz w:val="20"/>
        </w:rPr>
        <w:t xml:space="preserve">(п. 10 в ред. </w:t>
      </w:r>
      <w:hyperlink w:history="0" r:id="rId306"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13.01.2023 N 2-п)</w:t>
      </w:r>
    </w:p>
    <w:p>
      <w:pPr>
        <w:pStyle w:val="0"/>
        <w:spacing w:before="200" w:line-rule="auto"/>
        <w:ind w:firstLine="540"/>
        <w:jc w:val="both"/>
      </w:pPr>
      <w:r>
        <w:rPr>
          <w:sz w:val="20"/>
        </w:rPr>
        <w:t xml:space="preserve">11.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12. Соглашение должно содержать информацию, указанную в </w:t>
      </w:r>
      <w:hyperlink w:history="0" r:id="rId30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jc w:val="both"/>
      </w:pPr>
      <w:r>
        <w:rPr>
          <w:sz w:val="20"/>
        </w:rPr>
        <w:t xml:space="preserve">(п. 12 в ред. </w:t>
      </w:r>
      <w:hyperlink w:history="0" r:id="rId308"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13.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подлежат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Субсидий, распределенных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14. Департамент вправе предусматривать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15.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30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том числе в целях достижения результатов реализации регионального проекта, в соглашение вносятся соответствующие изменения.</w:t>
      </w:r>
    </w:p>
    <w:p>
      <w:pPr>
        <w:pStyle w:val="0"/>
        <w:spacing w:before="200" w:line-rule="auto"/>
        <w:ind w:firstLine="540"/>
        <w:jc w:val="both"/>
      </w:pPr>
      <w:r>
        <w:rPr>
          <w:sz w:val="20"/>
        </w:rPr>
        <w:t xml:space="preserve">16. В случае изменения общего объема бюджетных ассигнований, в том числе в связи с изменением сметной или предполагаемой (предельной) стоимости строительства объекта капитального строительства или стоимости приобретения объекта недвижимого имущества,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соответствующем финансовом году в местном бюджете.</w:t>
      </w:r>
    </w:p>
    <w:p>
      <w:pPr>
        <w:pStyle w:val="0"/>
        <w:spacing w:before="200" w:line-rule="auto"/>
        <w:ind w:firstLine="540"/>
        <w:jc w:val="both"/>
      </w:pPr>
      <w:r>
        <w:rPr>
          <w:sz w:val="20"/>
        </w:rPr>
        <w:t xml:space="preserve">17.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31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или результатов регионального проекта, а также в случае сокращения размера Субсидии.</w:t>
      </w:r>
    </w:p>
    <w:p>
      <w:pPr>
        <w:pStyle w:val="0"/>
        <w:spacing w:before="200" w:line-rule="auto"/>
        <w:ind w:firstLine="540"/>
        <w:jc w:val="both"/>
      </w:pPr>
      <w:r>
        <w:rPr>
          <w:sz w:val="20"/>
        </w:rPr>
        <w:t xml:space="preserve">18.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19. 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20. Результатом использования Субсидий является количество технически оснащенных муниципальных музеев на дату окончания Соглашения.</w:t>
      </w:r>
    </w:p>
    <w:p>
      <w:pPr>
        <w:pStyle w:val="0"/>
        <w:jc w:val="both"/>
      </w:pPr>
      <w:r>
        <w:rPr>
          <w:sz w:val="20"/>
        </w:rPr>
        <w:t xml:space="preserve">(в ред. </w:t>
      </w:r>
      <w:hyperlink w:history="0" r:id="rId311" w:tooltip="Постановление Правительства ХМАО - Югры от 01.09.2022 N 422-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01.09.2022 N 422-п)</w:t>
      </w:r>
    </w:p>
    <w:p>
      <w:pPr>
        <w:pStyle w:val="0"/>
        <w:spacing w:before="200" w:line-rule="auto"/>
        <w:ind w:firstLine="540"/>
        <w:jc w:val="both"/>
      </w:pPr>
      <w:r>
        <w:rPr>
          <w:sz w:val="20"/>
        </w:rPr>
        <w:t xml:space="preserve">Значение показателя результативности использования субсидии устанавливается Соглашением.</w:t>
      </w:r>
    </w:p>
    <w:p>
      <w:pPr>
        <w:pStyle w:val="0"/>
        <w:spacing w:before="200" w:line-rule="auto"/>
        <w:ind w:firstLine="540"/>
        <w:jc w:val="both"/>
      </w:pPr>
      <w:r>
        <w:rPr>
          <w:sz w:val="20"/>
        </w:rPr>
        <w:t xml:space="preserve">21.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22.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23.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и указанные нарушения не устранены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31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24.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31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25.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26. Ответственность за достоверность представляемых в Департамент сведений и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27.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w:history="0" r:id="rId314"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315"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31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3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К обстоятельствам непреодолимой силы не могут быть отнесены нарушения обязанностей со стороны контрагентов муниципального образования по муниципальным контрактам, отсутствие на рынке нужных для исполнения обязательств товаров, отсутствие у муниципального образования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pPr>
        <w:pStyle w:val="0"/>
        <w:spacing w:before="200" w:line-rule="auto"/>
        <w:ind w:firstLine="540"/>
        <w:jc w:val="both"/>
      </w:pPr>
      <w:r>
        <w:rPr>
          <w:sz w:val="20"/>
        </w:rPr>
        <w:t xml:space="preserve">28.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(главой местной администрации) муниципального образования, допустившего нарушение соответствующих обязательств, главному распорядителю не позднее 10 февраля года, следующего за годом предоставления Субсидии.</w:t>
      </w:r>
    </w:p>
    <w:p>
      <w:pPr>
        <w:pStyle w:val="0"/>
        <w:spacing w:before="200" w:line-rule="auto"/>
        <w:ind w:firstLine="540"/>
        <w:jc w:val="both"/>
      </w:pPr>
      <w:r>
        <w:rPr>
          <w:sz w:val="20"/>
        </w:rPr>
        <w:t xml:space="preserve">29.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31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31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объема средств, подлежащих возврату, и сроков их возврата в соответствии с Правилами предоставления Субсидий (далее - Требование по возврату).</w:t>
      </w:r>
    </w:p>
    <w:p>
      <w:pPr>
        <w:pStyle w:val="0"/>
        <w:spacing w:before="200" w:line-rule="auto"/>
        <w:ind w:firstLine="540"/>
        <w:jc w:val="both"/>
      </w:pPr>
      <w:r>
        <w:rPr>
          <w:sz w:val="20"/>
        </w:rPr>
        <w:t xml:space="preserve">30. В случае полного или частичного неперечисления объема средств, указанных в Требовании по возврату, в течение 5 рабочих дней со дня истечения установленного срока возврата в бюджет автономного округа из местного бюджета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31. Сведения о предоставляемых из бюджета автономного округа Субсидиях, а также сведения об их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p>
      <w:pPr>
        <w:pStyle w:val="2"/>
        <w:jc w:val="center"/>
      </w:pPr>
      <w:r>
        <w:rPr>
          <w:sz w:val="20"/>
        </w:rPr>
        <w:t xml:space="preserve">ПОРЯДОК</w:t>
      </w:r>
    </w:p>
    <w:p>
      <w:pPr>
        <w:pStyle w:val="2"/>
        <w:jc w:val="center"/>
      </w:pPr>
      <w:r>
        <w:rPr>
          <w:sz w:val="20"/>
        </w:rPr>
        <w:t xml:space="preserve">ПРЕДОСТАВЛЕНИЯ СОЦИАЛЬНО ОРИЕНТИРОВАННЫМ НЕКОММЕРЧЕСКИМ</w:t>
      </w:r>
    </w:p>
    <w:p>
      <w:pPr>
        <w:pStyle w:val="2"/>
        <w:jc w:val="center"/>
      </w:pPr>
      <w:r>
        <w:rPr>
          <w:sz w:val="20"/>
        </w:rPr>
        <w:t xml:space="preserve">ОРГАНИЗАЦИЯМ СУБСИДИИ ИЗ БЮДЖЕТА ХАНТЫ-МАНСИЙСКОГО</w:t>
      </w:r>
    </w:p>
    <w:p>
      <w:pPr>
        <w:pStyle w:val="2"/>
        <w:jc w:val="center"/>
      </w:pPr>
      <w:r>
        <w:rPr>
          <w:sz w:val="20"/>
        </w:rPr>
        <w:t xml:space="preserve">АВТОНОМНОГО ОКРУГА - ЮГРЫ НА ФИНАНСОВОЕ ОБЕСПЕЧЕНИЕ ЗАТРАТ,</w:t>
      </w:r>
    </w:p>
    <w:p>
      <w:pPr>
        <w:pStyle w:val="2"/>
        <w:jc w:val="center"/>
      </w:pPr>
      <w:r>
        <w:rPr>
          <w:sz w:val="20"/>
        </w:rPr>
        <w:t xml:space="preserve">СВЯЗАННЫХ С РЕАЛИЗАЦИЕЙ ПРОГРАММ (ПРОЕКТОВ) ПО ОКАЗАНИЮ</w:t>
      </w:r>
    </w:p>
    <w:p>
      <w:pPr>
        <w:pStyle w:val="2"/>
        <w:jc w:val="center"/>
      </w:pPr>
      <w:r>
        <w:rPr>
          <w:sz w:val="20"/>
        </w:rPr>
        <w:t xml:space="preserve">ОБЩЕСТВЕННО ПОЛЕЗНЫХ УСЛУГ В СФЕРЕ КУЛЬТУРЫ</w:t>
      </w:r>
    </w:p>
    <w:p>
      <w:pPr>
        <w:pStyle w:val="2"/>
        <w:jc w:val="center"/>
      </w:pPr>
      <w:r>
        <w:rPr>
          <w:sz w:val="20"/>
        </w:rPr>
        <w:t xml:space="preserve">(ДАЛЕЕ - ПОРЯДОК)</w:t>
      </w:r>
    </w:p>
    <w:p>
      <w:pPr>
        <w:pStyle w:val="0"/>
        <w:jc w:val="center"/>
      </w:pPr>
      <w:r>
        <w:rPr>
          <w:sz w:val="20"/>
        </w:rPr>
      </w:r>
    </w:p>
    <w:p>
      <w:pPr>
        <w:pStyle w:val="0"/>
        <w:ind w:firstLine="540"/>
        <w:jc w:val="both"/>
      </w:pPr>
      <w:r>
        <w:rPr>
          <w:sz w:val="20"/>
        </w:rPr>
        <w:t xml:space="preserve">Утратил силу с 13 января 2023 года. - </w:t>
      </w:r>
      <w:hyperlink w:history="0" r:id="rId319"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w:t>
        </w:r>
      </w:hyperlink>
      <w:r>
        <w:rPr>
          <w:sz w:val="20"/>
        </w:rPr>
        <w:t xml:space="preserve"> Правительства ХМАО - Югры от 13.01.2023 N 2-п.</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p>
      <w:pPr>
        <w:pStyle w:val="2"/>
        <w:jc w:val="center"/>
      </w:pPr>
      <w:r>
        <w:rPr>
          <w:sz w:val="20"/>
        </w:rPr>
        <w:t xml:space="preserve">ПОРЯДОК</w:t>
      </w:r>
    </w:p>
    <w:p>
      <w:pPr>
        <w:pStyle w:val="2"/>
        <w:jc w:val="center"/>
      </w:pPr>
      <w:r>
        <w:rPr>
          <w:sz w:val="20"/>
        </w:rPr>
        <w:t xml:space="preserve">ПРЕДОСТАВЛЕНИЯ ГРАНТОВ В ФОРМЕ СУБСИДИИ ИЗ БЮДЖЕТА</w:t>
      </w:r>
    </w:p>
    <w:p>
      <w:pPr>
        <w:pStyle w:val="2"/>
        <w:jc w:val="center"/>
      </w:pPr>
      <w:r>
        <w:rPr>
          <w:sz w:val="20"/>
        </w:rPr>
        <w:t xml:space="preserve">ХАНТЫ-МАНСИЙСКОГО АВТОНОМНОГО ОКРУГА - ЮГРЫ</w:t>
      </w:r>
    </w:p>
    <w:p>
      <w:pPr>
        <w:pStyle w:val="2"/>
        <w:jc w:val="center"/>
      </w:pPr>
      <w:r>
        <w:rPr>
          <w:sz w:val="20"/>
        </w:rPr>
        <w:t xml:space="preserve">НА ГОСУДАРСТВЕННУЮ ПОДДЕРЖКУ ЛУЧШИХ МУНИЦИПАЛЬНЫХ УЧРЕЖДЕНИЙ</w:t>
      </w:r>
    </w:p>
    <w:p>
      <w:pPr>
        <w:pStyle w:val="2"/>
        <w:jc w:val="center"/>
      </w:pPr>
      <w:r>
        <w:rPr>
          <w:sz w:val="20"/>
        </w:rPr>
        <w:t xml:space="preserve">КУЛЬТУРЫ, ОСУЩЕСТВЛЯЮЩИХ СВОЮ ДЕЯТЕЛЬНОСТЬ НА ТЕРРИТОРИЯХ</w:t>
      </w:r>
    </w:p>
    <w:p>
      <w:pPr>
        <w:pStyle w:val="2"/>
        <w:jc w:val="center"/>
      </w:pPr>
      <w:r>
        <w:rPr>
          <w:sz w:val="20"/>
        </w:rPr>
        <w:t xml:space="preserve">СЕЛЬСКИХ ПОСЕЛЕНИЙ ХАНТЫ-МАНСИЙСКОГО АВТОНОМНОГО</w:t>
      </w:r>
    </w:p>
    <w:p>
      <w:pPr>
        <w:pStyle w:val="2"/>
        <w:jc w:val="center"/>
      </w:pPr>
      <w:r>
        <w:rPr>
          <w:sz w:val="20"/>
        </w:rPr>
        <w:t xml:space="preserve">ОКРУГА - ЮГРЫ, И ВЫПЛАТЫ ПООЩРЕНИЙ ЛУЧШИМ РАБОТНИКАМ</w:t>
      </w:r>
    </w:p>
    <w:p>
      <w:pPr>
        <w:pStyle w:val="2"/>
        <w:jc w:val="center"/>
      </w:pPr>
      <w:r>
        <w:rPr>
          <w:sz w:val="20"/>
        </w:rPr>
        <w:t xml:space="preserve">МУНИЦИПАЛЬНЫХ УЧРЕЖДЕНИЙ КУЛЬТУРЫ, НАХОДЯЩИХСЯ НА ТЕРРИТОРИИ</w:t>
      </w:r>
    </w:p>
    <w:p>
      <w:pPr>
        <w:pStyle w:val="2"/>
        <w:jc w:val="center"/>
      </w:pPr>
      <w:r>
        <w:rPr>
          <w:sz w:val="20"/>
        </w:rPr>
        <w:t xml:space="preserve">СЕЛЬСКИХ ПОСЕЛЕНИЙ ХАНТЫ-МАНСИЙСКОГО АВТОНОМНОГО</w:t>
      </w:r>
    </w:p>
    <w:p>
      <w:pPr>
        <w:pStyle w:val="2"/>
        <w:jc w:val="center"/>
      </w:pPr>
      <w:r>
        <w:rPr>
          <w:sz w:val="20"/>
        </w:rPr>
        <w:t xml:space="preserve">ОКРУГА - ЮГРЫ, В ТОМ ЧИСЛЕ ЗА СЧЕТ СРЕДСТВ ФЕДЕРАЛЬНОГО</w:t>
      </w:r>
    </w:p>
    <w:p>
      <w:pPr>
        <w:pStyle w:val="2"/>
        <w:jc w:val="center"/>
      </w:pPr>
      <w:r>
        <w:rPr>
          <w:sz w:val="20"/>
        </w:rPr>
        <w:t xml:space="preserve">БЮДЖЕТА (ДАЛЕЕ - ПОРЯДОК)</w:t>
      </w:r>
    </w:p>
    <w:p>
      <w:pPr>
        <w:pStyle w:val="0"/>
        <w:jc w:val="center"/>
      </w:pPr>
      <w:r>
        <w:rPr>
          <w:sz w:val="20"/>
        </w:rPr>
      </w:r>
    </w:p>
    <w:p>
      <w:pPr>
        <w:pStyle w:val="0"/>
        <w:ind w:firstLine="540"/>
        <w:jc w:val="both"/>
      </w:pPr>
      <w:r>
        <w:rPr>
          <w:sz w:val="20"/>
        </w:rPr>
        <w:t xml:space="preserve">Утратил силу с 20 января 2023 года. - </w:t>
      </w:r>
      <w:hyperlink w:history="0" r:id="rId320"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ind w:firstLine="540"/>
        <w:jc w:val="both"/>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579" w:name="P1579"/>
    <w:bookmarkEnd w:id="1579"/>
    <w:p>
      <w:pPr>
        <w:pStyle w:val="2"/>
        <w:jc w:val="center"/>
      </w:pPr>
      <w:r>
        <w:rPr>
          <w:sz w:val="20"/>
        </w:rPr>
        <w:t xml:space="preserve">ПЛАН</w:t>
      </w:r>
    </w:p>
    <w:p>
      <w:pPr>
        <w:pStyle w:val="2"/>
        <w:jc w:val="center"/>
      </w:pPr>
      <w:r>
        <w:rPr>
          <w:sz w:val="20"/>
        </w:rPr>
        <w:t xml:space="preserve">ОСНОВНЫХ МЕРОПРИЯТИЙ, ПОСВЯЩЕННЫХ 100-ЛЕТИЮ МОСКОВСКОЙ</w:t>
      </w:r>
    </w:p>
    <w:p>
      <w:pPr>
        <w:pStyle w:val="2"/>
        <w:jc w:val="center"/>
      </w:pPr>
      <w:r>
        <w:rPr>
          <w:sz w:val="20"/>
        </w:rPr>
        <w:t xml:space="preserve">ГОСУДАРСТВЕННОЙ АКАДЕМИЧЕСКОЙ ФИЛАРМОНИИ В ХАНТЫ-МАНСИЙСКОМ</w:t>
      </w:r>
    </w:p>
    <w:p>
      <w:pPr>
        <w:pStyle w:val="2"/>
        <w:jc w:val="center"/>
      </w:pPr>
      <w:r>
        <w:rPr>
          <w:sz w:val="20"/>
        </w:rPr>
        <w:t xml:space="preserve">АВТОНОМНОМ ОКРУГЕ - ЮГРЕ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1417"/>
        <w:gridCol w:w="2324"/>
        <w:gridCol w:w="2025"/>
      </w:tblGrid>
      <w:tr>
        <w:tc>
          <w:tcPr>
            <w:tcW w:w="567" w:type="dxa"/>
          </w:tcPr>
          <w:p>
            <w:pPr>
              <w:pStyle w:val="0"/>
              <w:jc w:val="center"/>
            </w:pPr>
            <w:r>
              <w:rPr>
                <w:sz w:val="20"/>
              </w:rPr>
              <w:t xml:space="preserve">N п/п</w:t>
            </w:r>
          </w:p>
        </w:tc>
        <w:tc>
          <w:tcPr>
            <w:tcW w:w="2721" w:type="dxa"/>
          </w:tcPr>
          <w:p>
            <w:pPr>
              <w:pStyle w:val="0"/>
              <w:jc w:val="center"/>
            </w:pPr>
            <w:r>
              <w:rPr>
                <w:sz w:val="20"/>
              </w:rPr>
              <w:t xml:space="preserve">Наименование мероприятия</w:t>
            </w:r>
          </w:p>
        </w:tc>
        <w:tc>
          <w:tcPr>
            <w:tcW w:w="1417" w:type="dxa"/>
          </w:tcPr>
          <w:p>
            <w:pPr>
              <w:pStyle w:val="0"/>
              <w:jc w:val="center"/>
            </w:pPr>
            <w:r>
              <w:rPr>
                <w:sz w:val="20"/>
              </w:rPr>
              <w:t xml:space="preserve">Сроки проведения</w:t>
            </w:r>
          </w:p>
        </w:tc>
        <w:tc>
          <w:tcPr>
            <w:tcW w:w="2324" w:type="dxa"/>
          </w:tcPr>
          <w:p>
            <w:pPr>
              <w:pStyle w:val="0"/>
              <w:jc w:val="center"/>
            </w:pPr>
            <w:r>
              <w:rPr>
                <w:sz w:val="20"/>
              </w:rPr>
              <w:t xml:space="preserve">Ответственные исполнители</w:t>
            </w:r>
          </w:p>
        </w:tc>
        <w:tc>
          <w:tcPr>
            <w:tcW w:w="2025" w:type="dxa"/>
          </w:tcPr>
          <w:p>
            <w:pPr>
              <w:pStyle w:val="0"/>
              <w:jc w:val="center"/>
            </w:pPr>
            <w:r>
              <w:rPr>
                <w:sz w:val="20"/>
              </w:rPr>
              <w:t xml:space="preserve">Источник финансирования</w:t>
            </w:r>
          </w:p>
        </w:tc>
      </w:tr>
      <w:tr>
        <w:tc>
          <w:tcPr>
            <w:tcW w:w="567" w:type="dxa"/>
          </w:tcPr>
          <w:p>
            <w:pPr>
              <w:pStyle w:val="0"/>
            </w:pPr>
            <w:r>
              <w:rPr>
                <w:sz w:val="20"/>
              </w:rPr>
              <w:t xml:space="preserve">1.</w:t>
            </w:r>
          </w:p>
        </w:tc>
        <w:tc>
          <w:tcPr>
            <w:tcW w:w="2721" w:type="dxa"/>
          </w:tcPr>
          <w:p>
            <w:pPr>
              <w:pStyle w:val="0"/>
            </w:pPr>
            <w:r>
              <w:rPr>
                <w:sz w:val="20"/>
              </w:rPr>
              <w:t xml:space="preserve">Организация и проведение тематических уроков, классных часов, интерактивных занятий, посвященных 100-летию Московской государственной академической филармонии</w:t>
            </w:r>
          </w:p>
        </w:tc>
        <w:tc>
          <w:tcPr>
            <w:tcW w:w="1417" w:type="dxa"/>
          </w:tcPr>
          <w:p>
            <w:pPr>
              <w:pStyle w:val="0"/>
            </w:pPr>
            <w:r>
              <w:rPr>
                <w:sz w:val="20"/>
              </w:rPr>
              <w:t xml:space="preserve">до 31 декабря 2022 года</w:t>
            </w:r>
          </w:p>
        </w:tc>
        <w:tc>
          <w:tcPr>
            <w:tcW w:w="2324" w:type="dxa"/>
          </w:tcPr>
          <w:p>
            <w:pPr>
              <w:pStyle w:val="0"/>
            </w:pPr>
            <w:r>
              <w:rPr>
                <w:sz w:val="20"/>
              </w:rPr>
              <w:t xml:space="preserve">Департамент образования и молодежной политики Ханты-Мансийского автономного округа - Югры (далее автономный округ), муниципальные образования автономного округа (по согласованию)</w:t>
            </w:r>
          </w:p>
        </w:tc>
        <w:tc>
          <w:tcPr>
            <w:tcW w:w="2025" w:type="dxa"/>
          </w:tcPr>
          <w:p>
            <w:pPr>
              <w:pStyle w:val="0"/>
            </w:pPr>
            <w:r>
              <w:rPr>
                <w:sz w:val="20"/>
              </w:rPr>
              <w:t xml:space="preserve">государственная программа автономного округа "Развитие образования", бюджеты муниципальных образований автономного округа</w:t>
            </w:r>
          </w:p>
        </w:tc>
      </w:tr>
      <w:tr>
        <w:tc>
          <w:tcPr>
            <w:tcW w:w="567" w:type="dxa"/>
          </w:tcPr>
          <w:p>
            <w:pPr>
              <w:pStyle w:val="0"/>
            </w:pPr>
            <w:r>
              <w:rPr>
                <w:sz w:val="20"/>
              </w:rPr>
              <w:t xml:space="preserve">2.</w:t>
            </w:r>
          </w:p>
        </w:tc>
        <w:tc>
          <w:tcPr>
            <w:tcW w:w="2721" w:type="dxa"/>
          </w:tcPr>
          <w:p>
            <w:pPr>
              <w:pStyle w:val="0"/>
            </w:pPr>
            <w:r>
              <w:rPr>
                <w:sz w:val="20"/>
              </w:rPr>
              <w:t xml:space="preserve">Кинолекторий "Тайны женских портретов" (лекция музыковеда Жанны Дозорцевой в Московской государственной академической филармонии)</w:t>
            </w:r>
          </w:p>
        </w:tc>
        <w:tc>
          <w:tcPr>
            <w:tcW w:w="1417" w:type="dxa"/>
          </w:tcPr>
          <w:p>
            <w:pPr>
              <w:pStyle w:val="0"/>
            </w:pPr>
            <w:r>
              <w:rPr>
                <w:sz w:val="20"/>
              </w:rPr>
              <w:t xml:space="preserve">до 31 марта 2022 года</w:t>
            </w:r>
          </w:p>
        </w:tc>
        <w:tc>
          <w:tcPr>
            <w:tcW w:w="2324" w:type="dxa"/>
          </w:tcPr>
          <w:p>
            <w:pPr>
              <w:pStyle w:val="0"/>
            </w:pPr>
            <w:r>
              <w:rPr>
                <w:sz w:val="20"/>
              </w:rPr>
              <w:t xml:space="preserve">Департамент культуры автономного округа</w:t>
            </w:r>
          </w:p>
        </w:tc>
        <w:tc>
          <w:tcPr>
            <w:tcW w:w="2025" w:type="dxa"/>
          </w:tcPr>
          <w:p>
            <w:pPr>
              <w:pStyle w:val="0"/>
            </w:pPr>
            <w:r>
              <w:rPr>
                <w:sz w:val="20"/>
              </w:rPr>
              <w:t xml:space="preserve">государственная программа автономного округа "Культурное пространство"</w:t>
            </w:r>
          </w:p>
        </w:tc>
      </w:tr>
      <w:tr>
        <w:tc>
          <w:tcPr>
            <w:tcW w:w="567" w:type="dxa"/>
          </w:tcPr>
          <w:p>
            <w:pPr>
              <w:pStyle w:val="0"/>
            </w:pPr>
            <w:r>
              <w:rPr>
                <w:sz w:val="20"/>
              </w:rPr>
              <w:t xml:space="preserve">3.</w:t>
            </w:r>
          </w:p>
        </w:tc>
        <w:tc>
          <w:tcPr>
            <w:tcW w:w="2721" w:type="dxa"/>
          </w:tcPr>
          <w:p>
            <w:pPr>
              <w:pStyle w:val="0"/>
            </w:pPr>
            <w:r>
              <w:rPr>
                <w:sz w:val="20"/>
              </w:rPr>
              <w:t xml:space="preserve">Литературно-музыкальная гостиная "Так рождались легенды. История выдающихся коллективов Московской государственной академической филармонии"</w:t>
            </w:r>
          </w:p>
        </w:tc>
        <w:tc>
          <w:tcPr>
            <w:tcW w:w="1417" w:type="dxa"/>
          </w:tcPr>
          <w:p>
            <w:pPr>
              <w:pStyle w:val="0"/>
            </w:pPr>
            <w:r>
              <w:rPr>
                <w:sz w:val="20"/>
              </w:rPr>
              <w:t xml:space="preserve">до 31 декабря 2022 года</w:t>
            </w:r>
          </w:p>
        </w:tc>
        <w:tc>
          <w:tcPr>
            <w:tcW w:w="2324" w:type="dxa"/>
          </w:tcPr>
          <w:p>
            <w:pPr>
              <w:pStyle w:val="0"/>
            </w:pPr>
            <w:r>
              <w:rPr>
                <w:sz w:val="20"/>
              </w:rPr>
              <w:t xml:space="preserve">Департамент образования и молодежной политики автономного округа</w:t>
            </w:r>
          </w:p>
        </w:tc>
        <w:tc>
          <w:tcPr>
            <w:tcW w:w="2025" w:type="dxa"/>
          </w:tcPr>
          <w:p>
            <w:pPr>
              <w:pStyle w:val="0"/>
            </w:pPr>
            <w:r>
              <w:rPr>
                <w:sz w:val="20"/>
              </w:rPr>
              <w:t xml:space="preserve">государственная программа автономного округа "Развитие образования"</w:t>
            </w:r>
          </w:p>
        </w:tc>
      </w:tr>
      <w:tr>
        <w:tc>
          <w:tcPr>
            <w:tcW w:w="567" w:type="dxa"/>
          </w:tcPr>
          <w:p>
            <w:pPr>
              <w:pStyle w:val="0"/>
            </w:pPr>
            <w:r>
              <w:rPr>
                <w:sz w:val="20"/>
              </w:rPr>
              <w:t xml:space="preserve">4.</w:t>
            </w:r>
          </w:p>
        </w:tc>
        <w:tc>
          <w:tcPr>
            <w:tcW w:w="2721" w:type="dxa"/>
          </w:tcPr>
          <w:p>
            <w:pPr>
              <w:pStyle w:val="0"/>
            </w:pPr>
            <w:r>
              <w:rPr>
                <w:sz w:val="20"/>
              </w:rPr>
              <w:t xml:space="preserve">Конкурс изобразительного искусства, посвященный 100-летию Московской государственной академической филармонии</w:t>
            </w:r>
          </w:p>
        </w:tc>
        <w:tc>
          <w:tcPr>
            <w:tcW w:w="1417" w:type="dxa"/>
          </w:tcPr>
          <w:p>
            <w:pPr>
              <w:pStyle w:val="0"/>
            </w:pPr>
            <w:r>
              <w:rPr>
                <w:sz w:val="20"/>
              </w:rPr>
              <w:t xml:space="preserve">до 31 декабря 2022 года</w:t>
            </w:r>
          </w:p>
        </w:tc>
        <w:tc>
          <w:tcPr>
            <w:tcW w:w="2324" w:type="dxa"/>
          </w:tcPr>
          <w:p>
            <w:pPr>
              <w:pStyle w:val="0"/>
            </w:pPr>
            <w:r>
              <w:rPr>
                <w:sz w:val="20"/>
              </w:rPr>
              <w:t xml:space="preserve">Департамент культуры автономного округа, муниципальные образования автономного округа (по согласованию)</w:t>
            </w:r>
          </w:p>
        </w:tc>
        <w:tc>
          <w:tcPr>
            <w:tcW w:w="2025" w:type="dxa"/>
          </w:tcPr>
          <w:p>
            <w:pPr>
              <w:pStyle w:val="0"/>
            </w:pPr>
            <w:r>
              <w:rPr>
                <w:sz w:val="20"/>
              </w:rPr>
              <w:t xml:space="preserve">государственная программа автономного округа "Культурное пространство", бюджеты муниципальных образований автономного округа</w:t>
            </w:r>
          </w:p>
        </w:tc>
      </w:tr>
      <w:tr>
        <w:tc>
          <w:tcPr>
            <w:tcW w:w="567" w:type="dxa"/>
          </w:tcPr>
          <w:p>
            <w:pPr>
              <w:pStyle w:val="0"/>
            </w:pPr>
            <w:r>
              <w:rPr>
                <w:sz w:val="20"/>
              </w:rPr>
              <w:t xml:space="preserve">5.</w:t>
            </w:r>
          </w:p>
        </w:tc>
        <w:tc>
          <w:tcPr>
            <w:tcW w:w="2721" w:type="dxa"/>
          </w:tcPr>
          <w:p>
            <w:pPr>
              <w:pStyle w:val="0"/>
            </w:pPr>
            <w:r>
              <w:rPr>
                <w:sz w:val="20"/>
              </w:rPr>
              <w:t xml:space="preserve">Концерт-приношение 100-летию Московской государственной академической филармонии</w:t>
            </w:r>
          </w:p>
        </w:tc>
        <w:tc>
          <w:tcPr>
            <w:tcW w:w="1417" w:type="dxa"/>
          </w:tcPr>
          <w:p>
            <w:pPr>
              <w:pStyle w:val="0"/>
            </w:pPr>
            <w:r>
              <w:rPr>
                <w:sz w:val="20"/>
              </w:rPr>
              <w:t xml:space="preserve">до 31 декабря 2022 года</w:t>
            </w:r>
          </w:p>
        </w:tc>
        <w:tc>
          <w:tcPr>
            <w:tcW w:w="2324" w:type="dxa"/>
          </w:tcPr>
          <w:p>
            <w:pPr>
              <w:pStyle w:val="0"/>
            </w:pPr>
            <w:r>
              <w:rPr>
                <w:sz w:val="20"/>
              </w:rPr>
              <w:t xml:space="preserve">муниципальное образование городской округ Сургут (по согласованию)</w:t>
            </w:r>
          </w:p>
        </w:tc>
        <w:tc>
          <w:tcPr>
            <w:tcW w:w="2025" w:type="dxa"/>
          </w:tcPr>
          <w:p>
            <w:pPr>
              <w:pStyle w:val="0"/>
            </w:pPr>
            <w:r>
              <w:rPr>
                <w:sz w:val="20"/>
              </w:rPr>
              <w:t xml:space="preserve">бюджет муниципального образования автономного округа</w:t>
            </w:r>
          </w:p>
        </w:tc>
      </w:tr>
      <w:tr>
        <w:tc>
          <w:tcPr>
            <w:tcW w:w="567" w:type="dxa"/>
          </w:tcPr>
          <w:p>
            <w:pPr>
              <w:pStyle w:val="0"/>
            </w:pPr>
            <w:r>
              <w:rPr>
                <w:sz w:val="20"/>
              </w:rPr>
              <w:t xml:space="preserve">6.</w:t>
            </w:r>
          </w:p>
        </w:tc>
        <w:tc>
          <w:tcPr>
            <w:tcW w:w="2721" w:type="dxa"/>
          </w:tcPr>
          <w:p>
            <w:pPr>
              <w:pStyle w:val="0"/>
            </w:pPr>
            <w:r>
              <w:rPr>
                <w:sz w:val="20"/>
              </w:rPr>
              <w:t xml:space="preserve">Освещение в региональных средствах массовой информации мероприятий по подготовке и проведению 100-летия Московской государственной академической филармонии</w:t>
            </w:r>
          </w:p>
        </w:tc>
        <w:tc>
          <w:tcPr>
            <w:tcW w:w="1417" w:type="dxa"/>
          </w:tcPr>
          <w:p>
            <w:pPr>
              <w:pStyle w:val="0"/>
            </w:pPr>
            <w:r>
              <w:rPr>
                <w:sz w:val="20"/>
              </w:rPr>
              <w:t xml:space="preserve">до 31 декабря 2022 года</w:t>
            </w:r>
          </w:p>
        </w:tc>
        <w:tc>
          <w:tcPr>
            <w:tcW w:w="2324" w:type="dxa"/>
          </w:tcPr>
          <w:p>
            <w:pPr>
              <w:pStyle w:val="0"/>
            </w:pPr>
            <w:r>
              <w:rPr>
                <w:sz w:val="20"/>
              </w:rPr>
              <w:t xml:space="preserve">Департамент общественных и внешних связей автономного округа, Департамент культуры автономного округа</w:t>
            </w:r>
          </w:p>
        </w:tc>
        <w:tc>
          <w:tcPr>
            <w:tcW w:w="2025" w:type="dxa"/>
          </w:tcPr>
          <w:p>
            <w:pPr>
              <w:pStyle w:val="0"/>
            </w:pPr>
            <w:r>
              <w:rPr>
                <w:sz w:val="20"/>
              </w:rPr>
              <w:t xml:space="preserve">государственная программа автономного округа "Развитие гражданского общества"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630" w:name="P1630"/>
    <w:bookmarkEnd w:id="1630"/>
    <w:p>
      <w:pPr>
        <w:pStyle w:val="2"/>
        <w:jc w:val="center"/>
      </w:pPr>
      <w:r>
        <w:rPr>
          <w:sz w:val="20"/>
        </w:rPr>
        <w:t xml:space="preserve">ПЛАН</w:t>
      </w:r>
    </w:p>
    <w:p>
      <w:pPr>
        <w:pStyle w:val="2"/>
        <w:jc w:val="center"/>
      </w:pPr>
      <w:r>
        <w:rPr>
          <w:sz w:val="20"/>
        </w:rPr>
        <w:t xml:space="preserve">ОСНОВНЫХ МЕРОПРИЯТИЙ, ПОСВЯЩЕННЫХ ПРАЗДНОВАНИЮ 200-ЛЕТИЯ</w:t>
      </w:r>
    </w:p>
    <w:p>
      <w:pPr>
        <w:pStyle w:val="2"/>
        <w:jc w:val="center"/>
      </w:pPr>
      <w:r>
        <w:rPr>
          <w:sz w:val="20"/>
        </w:rPr>
        <w:t xml:space="preserve">СО ДНЯ РОЖДЕНИЯ А.Н. ОСТРОВСКОГО, В ХАНТЫ-МАНСИЙСКОМ</w:t>
      </w:r>
    </w:p>
    <w:p>
      <w:pPr>
        <w:pStyle w:val="2"/>
        <w:jc w:val="center"/>
      </w:pPr>
      <w:r>
        <w:rPr>
          <w:sz w:val="20"/>
        </w:rPr>
        <w:t xml:space="preserve">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1" w:tooltip="Постановление Правительства ХМАО - Югры от 11.11.2022 N 592-п &quot;О внесении изменений в приложение 18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color w:val="392c69"/>
              </w:rPr>
              <w:t xml:space="preserve"> Правительства ХМАО - Югры от 11.11.2022 N 592-п)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359"/>
        <w:gridCol w:w="2268"/>
        <w:gridCol w:w="2267"/>
      </w:tblGrid>
      <w:tr>
        <w:tc>
          <w:tcPr>
            <w:tcW w:w="567" w:type="dxa"/>
          </w:tcPr>
          <w:p>
            <w:pPr>
              <w:pStyle w:val="0"/>
              <w:jc w:val="center"/>
            </w:pPr>
            <w:r>
              <w:rPr>
                <w:sz w:val="20"/>
              </w:rPr>
              <w:t xml:space="preserve">N п/п</w:t>
            </w:r>
          </w:p>
        </w:tc>
        <w:tc>
          <w:tcPr>
            <w:tcW w:w="2608" w:type="dxa"/>
          </w:tcPr>
          <w:p>
            <w:pPr>
              <w:pStyle w:val="0"/>
              <w:jc w:val="center"/>
            </w:pPr>
            <w:r>
              <w:rPr>
                <w:sz w:val="20"/>
              </w:rPr>
              <w:t xml:space="preserve">Наименование мероприятия</w:t>
            </w:r>
          </w:p>
        </w:tc>
        <w:tc>
          <w:tcPr>
            <w:tcW w:w="1359" w:type="dxa"/>
          </w:tcPr>
          <w:p>
            <w:pPr>
              <w:pStyle w:val="0"/>
              <w:jc w:val="center"/>
            </w:pPr>
            <w:r>
              <w:rPr>
                <w:sz w:val="20"/>
              </w:rPr>
              <w:t xml:space="preserve">Сроки проведения</w:t>
            </w:r>
          </w:p>
        </w:tc>
        <w:tc>
          <w:tcPr>
            <w:tcW w:w="2268" w:type="dxa"/>
          </w:tcPr>
          <w:p>
            <w:pPr>
              <w:pStyle w:val="0"/>
              <w:jc w:val="center"/>
            </w:pPr>
            <w:r>
              <w:rPr>
                <w:sz w:val="20"/>
              </w:rPr>
              <w:t xml:space="preserve">Ответственные исполнители</w:t>
            </w:r>
          </w:p>
        </w:tc>
        <w:tc>
          <w:tcPr>
            <w:tcW w:w="2267" w:type="dxa"/>
          </w:tcPr>
          <w:p>
            <w:pPr>
              <w:pStyle w:val="0"/>
              <w:jc w:val="center"/>
            </w:pPr>
            <w:r>
              <w:rPr>
                <w:sz w:val="20"/>
              </w:rPr>
              <w:t xml:space="preserve">Источник финансирования</w:t>
            </w:r>
          </w:p>
        </w:tc>
      </w:tr>
      <w:tr>
        <w:tc>
          <w:tcPr>
            <w:tcW w:w="567" w:type="dxa"/>
          </w:tcPr>
          <w:p>
            <w:pPr>
              <w:pStyle w:val="0"/>
            </w:pPr>
            <w:r>
              <w:rPr>
                <w:sz w:val="20"/>
              </w:rPr>
              <w:t xml:space="preserve">1.</w:t>
            </w:r>
          </w:p>
        </w:tc>
        <w:tc>
          <w:tcPr>
            <w:tcW w:w="2608" w:type="dxa"/>
          </w:tcPr>
          <w:p>
            <w:pPr>
              <w:pStyle w:val="0"/>
            </w:pPr>
            <w:r>
              <w:rPr>
                <w:sz w:val="20"/>
              </w:rPr>
              <w:t xml:space="preserve">Организация и проведение цикла мероприятий, посвященных жизни и творчеству А.Н. Островского "В мире Островского"</w:t>
            </w:r>
          </w:p>
        </w:tc>
        <w:tc>
          <w:tcPr>
            <w:tcW w:w="1359" w:type="dxa"/>
          </w:tcPr>
          <w:p>
            <w:pPr>
              <w:pStyle w:val="0"/>
            </w:pPr>
            <w:r>
              <w:rPr>
                <w:sz w:val="20"/>
              </w:rPr>
              <w:t xml:space="preserve">до 31 декабря 2023 года</w:t>
            </w:r>
          </w:p>
        </w:tc>
        <w:tc>
          <w:tcPr>
            <w:tcW w:w="2268" w:type="dxa"/>
          </w:tcPr>
          <w:p>
            <w:pPr>
              <w:pStyle w:val="0"/>
            </w:pPr>
            <w:r>
              <w:rPr>
                <w:sz w:val="20"/>
              </w:rPr>
              <w:t xml:space="preserve">Департамент культуры Ханты-Мансийского автономного округа - Югры</w:t>
            </w:r>
          </w:p>
          <w:p>
            <w:pPr>
              <w:pStyle w:val="0"/>
            </w:pPr>
            <w:r>
              <w:rPr>
                <w:sz w:val="20"/>
              </w:rPr>
              <w:t xml:space="preserve">(далее - автономный округ), муниципальные образования автономного округа (по согласованию)</w:t>
            </w:r>
          </w:p>
        </w:tc>
        <w:tc>
          <w:tcPr>
            <w:tcW w:w="2267" w:type="dxa"/>
          </w:tcPr>
          <w:p>
            <w:pPr>
              <w:pStyle w:val="0"/>
            </w:pPr>
            <w:r>
              <w:rPr>
                <w:sz w:val="20"/>
              </w:rPr>
              <w:t xml:space="preserve">государственная программа автономного округа "Культурное пространство"</w:t>
            </w:r>
          </w:p>
        </w:tc>
      </w:tr>
      <w:tr>
        <w:tblPrEx>
          <w:tblBorders>
            <w:insideH w:val="nil"/>
          </w:tblBorders>
        </w:tblPrEx>
        <w:tc>
          <w:tcPr>
            <w:tcW w:w="567" w:type="dxa"/>
            <w:tcBorders>
              <w:bottom w:val="nil"/>
            </w:tcBorders>
          </w:tcPr>
          <w:p>
            <w:pPr>
              <w:pStyle w:val="0"/>
            </w:pPr>
            <w:r>
              <w:rPr>
                <w:sz w:val="20"/>
              </w:rPr>
              <w:t xml:space="preserve">2.</w:t>
            </w:r>
          </w:p>
        </w:tc>
        <w:tc>
          <w:tcPr>
            <w:tcW w:w="2608" w:type="dxa"/>
            <w:tcBorders>
              <w:bottom w:val="nil"/>
            </w:tcBorders>
          </w:tcPr>
          <w:p>
            <w:pPr>
              <w:pStyle w:val="0"/>
            </w:pPr>
            <w:r>
              <w:rPr>
                <w:sz w:val="20"/>
              </w:rPr>
              <w:t xml:space="preserve">Всероссийский конкурс юных чтецов "Живая классика"</w:t>
            </w:r>
          </w:p>
        </w:tc>
        <w:tc>
          <w:tcPr>
            <w:tcW w:w="1359" w:type="dxa"/>
            <w:tcBorders>
              <w:bottom w:val="nil"/>
            </w:tcBorders>
          </w:tcPr>
          <w:p>
            <w:pPr>
              <w:pStyle w:val="0"/>
            </w:pPr>
            <w:r>
              <w:rPr>
                <w:sz w:val="20"/>
              </w:rPr>
              <w:t xml:space="preserve">до 31 августа 2023 года</w:t>
            </w:r>
          </w:p>
        </w:tc>
        <w:tc>
          <w:tcPr>
            <w:tcW w:w="2268" w:type="dxa"/>
            <w:tcBorders>
              <w:bottom w:val="nil"/>
            </w:tcBorders>
          </w:tcPr>
          <w:p>
            <w:pPr>
              <w:pStyle w:val="0"/>
            </w:pPr>
            <w:r>
              <w:rPr>
                <w:sz w:val="20"/>
              </w:rPr>
              <w:t xml:space="preserve">Департамент образования и науки автономного округа</w:t>
            </w:r>
          </w:p>
        </w:tc>
        <w:tc>
          <w:tcPr>
            <w:tcW w:w="2267" w:type="dxa"/>
            <w:tcBorders>
              <w:bottom w:val="nil"/>
            </w:tcBorders>
          </w:tcPr>
          <w:p>
            <w:pPr>
              <w:pStyle w:val="0"/>
            </w:pPr>
            <w:r>
              <w:rPr>
                <w:sz w:val="20"/>
              </w:rPr>
              <w:t xml:space="preserve">государственная программа автономного округа "Развитие образования"</w:t>
            </w:r>
          </w:p>
        </w:tc>
      </w:tr>
      <w:tr>
        <w:tblPrEx>
          <w:tblBorders>
            <w:insideH w:val="nil"/>
          </w:tblBorders>
        </w:tblPrEx>
        <w:tc>
          <w:tcPr>
            <w:gridSpan w:val="5"/>
            <w:tcW w:w="9069" w:type="dxa"/>
            <w:tcBorders>
              <w:top w:val="nil"/>
            </w:tcBorders>
          </w:tcPr>
          <w:p>
            <w:pPr>
              <w:pStyle w:val="0"/>
              <w:jc w:val="both"/>
            </w:pPr>
            <w:r>
              <w:rPr>
                <w:sz w:val="20"/>
              </w:rPr>
              <w:t xml:space="preserve">(в ред. </w:t>
            </w:r>
            <w:hyperlink w:history="0" r:id="rId322" w:tooltip="Постановление Правительства ХМАО - Югры от 11.11.2022 N 592-п &quot;О внесении изменений в приложение 18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11.11.2022 N 592-п)</w:t>
            </w:r>
          </w:p>
        </w:tc>
      </w:tr>
      <w:tr>
        <w:tc>
          <w:tcPr>
            <w:tcW w:w="567" w:type="dxa"/>
          </w:tcPr>
          <w:p>
            <w:pPr>
              <w:pStyle w:val="0"/>
            </w:pPr>
            <w:r>
              <w:rPr>
                <w:sz w:val="20"/>
              </w:rPr>
              <w:t xml:space="preserve">3.</w:t>
            </w:r>
          </w:p>
        </w:tc>
        <w:tc>
          <w:tcPr>
            <w:tcW w:w="2608" w:type="dxa"/>
          </w:tcPr>
          <w:p>
            <w:pPr>
              <w:pStyle w:val="0"/>
            </w:pPr>
            <w:r>
              <w:rPr>
                <w:sz w:val="20"/>
              </w:rPr>
              <w:t xml:space="preserve">Организация и проведение тематических уроков, классных часов, интерактивных занятий, посвященных празднованию 200-летия со дня рождения А.Н. Островского</w:t>
            </w:r>
          </w:p>
        </w:tc>
        <w:tc>
          <w:tcPr>
            <w:tcW w:w="1359" w:type="dxa"/>
          </w:tcPr>
          <w:p>
            <w:pPr>
              <w:pStyle w:val="0"/>
            </w:pPr>
            <w:r>
              <w:rPr>
                <w:sz w:val="20"/>
              </w:rPr>
              <w:t xml:space="preserve">до 31 декабря 2023 года</w:t>
            </w:r>
          </w:p>
        </w:tc>
        <w:tc>
          <w:tcPr>
            <w:tcW w:w="2268" w:type="dxa"/>
          </w:tcPr>
          <w:p>
            <w:pPr>
              <w:pStyle w:val="0"/>
            </w:pPr>
            <w:r>
              <w:rPr>
                <w:sz w:val="20"/>
              </w:rPr>
              <w:t xml:space="preserve">муниципальные образования автономного округа (по согласованию)</w:t>
            </w:r>
          </w:p>
        </w:tc>
        <w:tc>
          <w:tcPr>
            <w:tcW w:w="2267" w:type="dxa"/>
          </w:tcPr>
          <w:p>
            <w:pPr>
              <w:pStyle w:val="0"/>
            </w:pPr>
            <w:r>
              <w:rPr>
                <w:sz w:val="20"/>
              </w:rPr>
              <w:t xml:space="preserve">бюджеты муниципальных образований автономного округа</w:t>
            </w:r>
          </w:p>
        </w:tc>
      </w:tr>
      <w:tr>
        <w:tc>
          <w:tcPr>
            <w:tcW w:w="567" w:type="dxa"/>
          </w:tcPr>
          <w:p>
            <w:pPr>
              <w:pStyle w:val="0"/>
            </w:pPr>
            <w:r>
              <w:rPr>
                <w:sz w:val="20"/>
              </w:rPr>
              <w:t xml:space="preserve">4.</w:t>
            </w:r>
          </w:p>
        </w:tc>
        <w:tc>
          <w:tcPr>
            <w:tcW w:w="2608" w:type="dxa"/>
          </w:tcPr>
          <w:p>
            <w:pPr>
              <w:pStyle w:val="0"/>
            </w:pPr>
            <w:r>
              <w:rPr>
                <w:sz w:val="20"/>
              </w:rPr>
              <w:t xml:space="preserve">Постановка спектаклей по мотивам произведений А.Н. Островского</w:t>
            </w:r>
          </w:p>
        </w:tc>
        <w:tc>
          <w:tcPr>
            <w:tcW w:w="1359" w:type="dxa"/>
          </w:tcPr>
          <w:p>
            <w:pPr>
              <w:pStyle w:val="0"/>
            </w:pPr>
            <w:r>
              <w:rPr>
                <w:sz w:val="20"/>
              </w:rPr>
              <w:t xml:space="preserve">до 31 декабря 2023 года</w:t>
            </w:r>
          </w:p>
        </w:tc>
        <w:tc>
          <w:tcPr>
            <w:tcW w:w="2268" w:type="dxa"/>
          </w:tcPr>
          <w:p>
            <w:pPr>
              <w:pStyle w:val="0"/>
            </w:pPr>
            <w:r>
              <w:rPr>
                <w:sz w:val="20"/>
              </w:rPr>
              <w:t xml:space="preserve">Департамент культуры автономного округа, муниципальные образования автономного округа (по согласованию)</w:t>
            </w:r>
          </w:p>
        </w:tc>
        <w:tc>
          <w:tcPr>
            <w:tcW w:w="2267" w:type="dxa"/>
          </w:tcPr>
          <w:p>
            <w:pPr>
              <w:pStyle w:val="0"/>
            </w:pPr>
            <w:r>
              <w:rPr>
                <w:sz w:val="20"/>
              </w:rPr>
              <w:t xml:space="preserve">государственная программа автономного округа "Культурное пространство", бюджеты муниципальных образований автономного округа</w:t>
            </w:r>
          </w:p>
        </w:tc>
      </w:tr>
      <w:tr>
        <w:tblPrEx>
          <w:tblBorders>
            <w:insideH w:val="nil"/>
          </w:tblBorders>
        </w:tblPrEx>
        <w:tc>
          <w:tcPr>
            <w:tcW w:w="567" w:type="dxa"/>
            <w:tcBorders>
              <w:bottom w:val="nil"/>
            </w:tcBorders>
          </w:tcPr>
          <w:p>
            <w:pPr>
              <w:pStyle w:val="0"/>
            </w:pPr>
            <w:r>
              <w:rPr>
                <w:sz w:val="20"/>
              </w:rPr>
              <w:t xml:space="preserve">5.</w:t>
            </w:r>
          </w:p>
        </w:tc>
        <w:tc>
          <w:tcPr>
            <w:tcW w:w="2608" w:type="dxa"/>
            <w:tcBorders>
              <w:bottom w:val="nil"/>
            </w:tcBorders>
          </w:tcPr>
          <w:p>
            <w:pPr>
              <w:pStyle w:val="0"/>
            </w:pPr>
            <w:r>
              <w:rPr>
                <w:sz w:val="20"/>
              </w:rPr>
              <w:t xml:space="preserve">Всероссийский урок, посвященный 200-летию со дня рождения А.Н. Островского</w:t>
            </w:r>
          </w:p>
        </w:tc>
        <w:tc>
          <w:tcPr>
            <w:tcW w:w="1359" w:type="dxa"/>
            <w:tcBorders>
              <w:bottom w:val="nil"/>
            </w:tcBorders>
          </w:tcPr>
          <w:p>
            <w:pPr>
              <w:pStyle w:val="0"/>
            </w:pPr>
            <w:r>
              <w:rPr>
                <w:sz w:val="20"/>
              </w:rPr>
              <w:t xml:space="preserve">до 30 апреля 2023 года</w:t>
            </w:r>
          </w:p>
        </w:tc>
        <w:tc>
          <w:tcPr>
            <w:tcW w:w="2268" w:type="dxa"/>
            <w:tcBorders>
              <w:bottom w:val="nil"/>
            </w:tcBorders>
          </w:tcPr>
          <w:p>
            <w:pPr>
              <w:pStyle w:val="0"/>
            </w:pPr>
            <w:r>
              <w:rPr>
                <w:sz w:val="20"/>
              </w:rPr>
              <w:t xml:space="preserve">Департамент образования и науки автономного округа, муниципальные образования автономного округа (по согласованию)</w:t>
            </w:r>
          </w:p>
        </w:tc>
        <w:tc>
          <w:tcPr>
            <w:tcW w:w="2267" w:type="dxa"/>
            <w:tcBorders>
              <w:bottom w:val="nil"/>
            </w:tcBorders>
          </w:tcPr>
          <w:p>
            <w:pPr>
              <w:pStyle w:val="0"/>
            </w:pPr>
            <w:r>
              <w:rPr>
                <w:sz w:val="20"/>
              </w:rPr>
              <w:t xml:space="preserve">бюджеты муниципальных образований автономного округа</w:t>
            </w:r>
          </w:p>
        </w:tc>
      </w:tr>
      <w:tr>
        <w:tblPrEx>
          <w:tblBorders>
            <w:insideH w:val="nil"/>
          </w:tblBorders>
        </w:tblPrEx>
        <w:tc>
          <w:tcPr>
            <w:gridSpan w:val="5"/>
            <w:tcW w:w="9069" w:type="dxa"/>
            <w:tcBorders>
              <w:top w:val="nil"/>
            </w:tcBorders>
          </w:tcPr>
          <w:p>
            <w:pPr>
              <w:pStyle w:val="0"/>
              <w:jc w:val="both"/>
            </w:pPr>
            <w:r>
              <w:rPr>
                <w:sz w:val="20"/>
              </w:rPr>
              <w:t xml:space="preserve">(п. 5 в ред. </w:t>
            </w:r>
            <w:hyperlink w:history="0" r:id="rId323" w:tooltip="Постановление Правительства ХМАО - Югры от 11.11.2022 N 592-п &quot;О внесении изменений в приложение 18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rPr>
              <w:t xml:space="preserve"> Правительства ХМАО - Югры от 11.11.2022 N 592-п)</w:t>
            </w:r>
          </w:p>
        </w:tc>
      </w:tr>
      <w:tr>
        <w:tblPrEx>
          <w:tblBorders>
            <w:insideH w:val="nil"/>
          </w:tblBorders>
        </w:tblPrEx>
        <w:tc>
          <w:tcPr>
            <w:tcW w:w="567" w:type="dxa"/>
            <w:tcBorders>
              <w:bottom w:val="nil"/>
            </w:tcBorders>
          </w:tcPr>
          <w:p>
            <w:pPr>
              <w:pStyle w:val="0"/>
            </w:pPr>
            <w:r>
              <w:rPr>
                <w:sz w:val="20"/>
              </w:rPr>
              <w:t xml:space="preserve">6.</w:t>
            </w:r>
          </w:p>
        </w:tc>
        <w:tc>
          <w:tcPr>
            <w:tcW w:w="2608" w:type="dxa"/>
            <w:tcBorders>
              <w:bottom w:val="nil"/>
            </w:tcBorders>
          </w:tcPr>
          <w:p>
            <w:pPr>
              <w:pStyle w:val="0"/>
            </w:pPr>
            <w:r>
              <w:rPr>
                <w:sz w:val="20"/>
              </w:rPr>
              <w:t xml:space="preserve">Всероссийский студенческий творческий марафон "Вперед к Островскому"</w:t>
            </w:r>
          </w:p>
        </w:tc>
        <w:tc>
          <w:tcPr>
            <w:tcW w:w="1359" w:type="dxa"/>
            <w:tcBorders>
              <w:bottom w:val="nil"/>
            </w:tcBorders>
          </w:tcPr>
          <w:p>
            <w:pPr>
              <w:pStyle w:val="0"/>
            </w:pPr>
            <w:r>
              <w:rPr>
                <w:sz w:val="20"/>
              </w:rPr>
              <w:t xml:space="preserve">до 31 декабря 2023 года</w:t>
            </w:r>
          </w:p>
        </w:tc>
        <w:tc>
          <w:tcPr>
            <w:tcW w:w="2268" w:type="dxa"/>
            <w:tcBorders>
              <w:bottom w:val="nil"/>
            </w:tcBorders>
          </w:tcPr>
          <w:p>
            <w:pPr>
              <w:pStyle w:val="0"/>
            </w:pPr>
            <w:r>
              <w:rPr>
                <w:sz w:val="20"/>
              </w:rPr>
              <w:t xml:space="preserve">Департамент образования и науки автономного округа, Департамент культуры автономного округа</w:t>
            </w:r>
          </w:p>
        </w:tc>
        <w:tc>
          <w:tcPr>
            <w:tcW w:w="2267" w:type="dxa"/>
            <w:tcBorders>
              <w:bottom w:val="nil"/>
            </w:tcBorders>
          </w:tcPr>
          <w:p>
            <w:pPr>
              <w:pStyle w:val="0"/>
            </w:pPr>
            <w:r>
              <w:rPr>
                <w:sz w:val="20"/>
              </w:rPr>
              <w:t xml:space="preserve">государственная программа автономного округа "Развитие образования"</w:t>
            </w:r>
          </w:p>
        </w:tc>
      </w:tr>
      <w:tr>
        <w:tblPrEx>
          <w:tblBorders>
            <w:insideH w:val="nil"/>
          </w:tblBorders>
        </w:tblPrEx>
        <w:tc>
          <w:tcPr>
            <w:gridSpan w:val="5"/>
            <w:tcW w:w="9069" w:type="dxa"/>
            <w:tcBorders>
              <w:top w:val="nil"/>
            </w:tcBorders>
          </w:tcPr>
          <w:p>
            <w:pPr>
              <w:pStyle w:val="0"/>
              <w:jc w:val="both"/>
            </w:pPr>
            <w:r>
              <w:rPr>
                <w:sz w:val="20"/>
              </w:rPr>
              <w:t xml:space="preserve">(п. 6 введен </w:t>
            </w:r>
            <w:hyperlink w:history="0" r:id="rId324" w:tooltip="Постановление Правительства ХМАО - Югры от 11.11.2022 N 592-п &quot;О внесении изменений в приложение 18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11.11.2022 N 592-п)</w:t>
            </w:r>
          </w:p>
        </w:tc>
      </w:tr>
      <w:tr>
        <w:tblPrEx>
          <w:tblBorders>
            <w:insideH w:val="nil"/>
          </w:tblBorders>
        </w:tblPrEx>
        <w:tc>
          <w:tcPr>
            <w:tcW w:w="567" w:type="dxa"/>
            <w:tcBorders>
              <w:bottom w:val="nil"/>
            </w:tcBorders>
          </w:tcPr>
          <w:p>
            <w:pPr>
              <w:pStyle w:val="0"/>
            </w:pPr>
            <w:r>
              <w:rPr>
                <w:sz w:val="20"/>
              </w:rPr>
              <w:t xml:space="preserve">7.</w:t>
            </w:r>
          </w:p>
        </w:tc>
        <w:tc>
          <w:tcPr>
            <w:tcW w:w="2608" w:type="dxa"/>
            <w:tcBorders>
              <w:bottom w:val="nil"/>
            </w:tcBorders>
          </w:tcPr>
          <w:p>
            <w:pPr>
              <w:pStyle w:val="0"/>
            </w:pPr>
            <w:r>
              <w:rPr>
                <w:sz w:val="20"/>
              </w:rPr>
              <w:t xml:space="preserve">Обеспечение доступа к информации о мероприятиях по подготовке и проведению празднования 200-летия со дня рождения А.Н. Островского</w:t>
            </w:r>
          </w:p>
        </w:tc>
        <w:tc>
          <w:tcPr>
            <w:tcW w:w="1359" w:type="dxa"/>
            <w:tcBorders>
              <w:bottom w:val="nil"/>
            </w:tcBorders>
          </w:tcPr>
          <w:p>
            <w:pPr>
              <w:pStyle w:val="0"/>
            </w:pPr>
            <w:r>
              <w:rPr>
                <w:sz w:val="20"/>
              </w:rPr>
              <w:t xml:space="preserve">до 31 декабря 2023 года</w:t>
            </w:r>
          </w:p>
        </w:tc>
        <w:tc>
          <w:tcPr>
            <w:tcW w:w="2268" w:type="dxa"/>
            <w:tcBorders>
              <w:bottom w:val="nil"/>
            </w:tcBorders>
          </w:tcPr>
          <w:p>
            <w:pPr>
              <w:pStyle w:val="0"/>
            </w:pPr>
            <w:r>
              <w:rPr>
                <w:sz w:val="20"/>
              </w:rPr>
              <w:t xml:space="preserve">Департамент общественных, внешних связей и молодежной политики автономного округа</w:t>
            </w:r>
          </w:p>
        </w:tc>
        <w:tc>
          <w:tcPr>
            <w:tcW w:w="2267" w:type="dxa"/>
            <w:tcBorders>
              <w:bottom w:val="nil"/>
            </w:tcBorders>
          </w:tcPr>
          <w:p>
            <w:pPr>
              <w:pStyle w:val="0"/>
            </w:pPr>
            <w:r>
              <w:rPr>
                <w:sz w:val="20"/>
              </w:rPr>
              <w:t xml:space="preserve">государственная программа автономного округа "Развитие гражданского общества"</w:t>
            </w:r>
          </w:p>
        </w:tc>
      </w:tr>
      <w:tr>
        <w:tblPrEx>
          <w:tblBorders>
            <w:insideH w:val="nil"/>
          </w:tblBorders>
        </w:tblPrEx>
        <w:tc>
          <w:tcPr>
            <w:gridSpan w:val="5"/>
            <w:tcW w:w="9069" w:type="dxa"/>
            <w:tcBorders>
              <w:top w:val="nil"/>
            </w:tcBorders>
          </w:tcPr>
          <w:p>
            <w:pPr>
              <w:pStyle w:val="0"/>
              <w:jc w:val="both"/>
            </w:pPr>
            <w:r>
              <w:rPr>
                <w:sz w:val="20"/>
              </w:rPr>
              <w:t xml:space="preserve">(п. 7 введен </w:t>
            </w:r>
            <w:hyperlink w:history="0" r:id="rId325" w:tooltip="Постановление Правительства ХМАО - Югры от 11.11.2022 N 592-п &quot;О внесении изменений в приложение 18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11.11.2022 N 592-п)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693" w:name="P1693"/>
    <w:bookmarkEnd w:id="1693"/>
    <w:p>
      <w:pPr>
        <w:pStyle w:val="2"/>
        <w:jc w:val="center"/>
      </w:pPr>
      <w:r>
        <w:rPr>
          <w:sz w:val="20"/>
        </w:rPr>
        <w:t xml:space="preserve">ПЛАН</w:t>
      </w:r>
    </w:p>
    <w:p>
      <w:pPr>
        <w:pStyle w:val="2"/>
        <w:jc w:val="center"/>
      </w:pPr>
      <w:r>
        <w:rPr>
          <w:sz w:val="20"/>
        </w:rPr>
        <w:t xml:space="preserve">ОСНОВНЫХ МЕРОПРИЯТИЙ, ПОСВЯЩЕННЫХ 350-ЛЕТИЮ СО ДНЯ РОЖДЕНИЯ</w:t>
      </w:r>
    </w:p>
    <w:p>
      <w:pPr>
        <w:pStyle w:val="2"/>
        <w:jc w:val="center"/>
      </w:pPr>
      <w:r>
        <w:rPr>
          <w:sz w:val="20"/>
        </w:rPr>
        <w:t xml:space="preserve">ПЕТРА I, В ХАНТЫ-МАНСИЙСКОМ АВТОНОМНОМ ОКРУГЕ - ЮГРЕ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665"/>
        <w:gridCol w:w="1401"/>
        <w:gridCol w:w="2608"/>
        <w:gridCol w:w="2721"/>
      </w:tblGrid>
      <w:tr>
        <w:tc>
          <w:tcPr>
            <w:tcW w:w="680" w:type="dxa"/>
          </w:tcPr>
          <w:p>
            <w:pPr>
              <w:pStyle w:val="0"/>
              <w:jc w:val="center"/>
            </w:pPr>
            <w:r>
              <w:rPr>
                <w:sz w:val="20"/>
              </w:rPr>
              <w:t xml:space="preserve">N п/п</w:t>
            </w:r>
          </w:p>
        </w:tc>
        <w:tc>
          <w:tcPr>
            <w:tcW w:w="2665" w:type="dxa"/>
          </w:tcPr>
          <w:p>
            <w:pPr>
              <w:pStyle w:val="0"/>
              <w:jc w:val="center"/>
            </w:pPr>
            <w:r>
              <w:rPr>
                <w:sz w:val="20"/>
              </w:rPr>
              <w:t xml:space="preserve">Наименование мероприятия</w:t>
            </w:r>
          </w:p>
        </w:tc>
        <w:tc>
          <w:tcPr>
            <w:tcW w:w="1401" w:type="dxa"/>
          </w:tcPr>
          <w:p>
            <w:pPr>
              <w:pStyle w:val="0"/>
              <w:jc w:val="center"/>
            </w:pPr>
            <w:r>
              <w:rPr>
                <w:sz w:val="20"/>
              </w:rPr>
              <w:t xml:space="preserve">Сроки проведения</w:t>
            </w:r>
          </w:p>
        </w:tc>
        <w:tc>
          <w:tcPr>
            <w:tcW w:w="2608" w:type="dxa"/>
          </w:tcPr>
          <w:p>
            <w:pPr>
              <w:pStyle w:val="0"/>
              <w:jc w:val="center"/>
            </w:pPr>
            <w:r>
              <w:rPr>
                <w:sz w:val="20"/>
              </w:rPr>
              <w:t xml:space="preserve">Ответственные исполнители</w:t>
            </w:r>
          </w:p>
        </w:tc>
        <w:tc>
          <w:tcPr>
            <w:tcW w:w="2721" w:type="dxa"/>
          </w:tcPr>
          <w:p>
            <w:pPr>
              <w:pStyle w:val="0"/>
              <w:jc w:val="center"/>
            </w:pPr>
            <w:r>
              <w:rPr>
                <w:sz w:val="20"/>
              </w:rPr>
              <w:t xml:space="preserve">Источник финансирования</w:t>
            </w:r>
          </w:p>
        </w:tc>
      </w:tr>
      <w:tr>
        <w:tc>
          <w:tcPr>
            <w:tcW w:w="680" w:type="dxa"/>
          </w:tcPr>
          <w:p>
            <w:pPr>
              <w:pStyle w:val="0"/>
              <w:jc w:val="center"/>
            </w:pPr>
            <w:r>
              <w:rPr>
                <w:sz w:val="20"/>
              </w:rPr>
              <w:t xml:space="preserve">1.</w:t>
            </w:r>
          </w:p>
        </w:tc>
        <w:tc>
          <w:tcPr>
            <w:tcW w:w="2665" w:type="dxa"/>
          </w:tcPr>
          <w:p>
            <w:pPr>
              <w:pStyle w:val="0"/>
            </w:pPr>
            <w:r>
              <w:rPr>
                <w:sz w:val="20"/>
              </w:rPr>
              <w:t xml:space="preserve">Организация экскурсий и путешествий для школьников в рамках культурно-познавательных программ, посвященных жизни и деятельности Петра Великого</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образования и молодежной политики Ханты-Мансийского автономного округа - Югры (далее - автономный округ), Департамент культуры округа,</w:t>
            </w:r>
          </w:p>
          <w:p>
            <w:pPr>
              <w:pStyle w:val="0"/>
            </w:pPr>
            <w:r>
              <w:rPr>
                <w:sz w:val="20"/>
              </w:rPr>
              <w:t xml:space="preserve">муниципальные образования Ханты-Мансийского автономного округа - Югры (по согласованию)</w:t>
            </w:r>
          </w:p>
        </w:tc>
        <w:tc>
          <w:tcPr>
            <w:tcW w:w="2721" w:type="dxa"/>
          </w:tcPr>
          <w:p>
            <w:pPr>
              <w:pStyle w:val="0"/>
            </w:pPr>
            <w:r>
              <w:rPr>
                <w:sz w:val="20"/>
              </w:rPr>
              <w:t xml:space="preserve">государственная программа автономного округа "Развитие образования",</w:t>
            </w:r>
          </w:p>
          <w:p>
            <w:pPr>
              <w:pStyle w:val="0"/>
            </w:pPr>
            <w:r>
              <w:rPr>
                <w:sz w:val="20"/>
              </w:rPr>
              <w:t xml:space="preserve">бюджеты муниципальных образований Ханты-Мансийского автономного округа - Югры</w:t>
            </w:r>
          </w:p>
        </w:tc>
      </w:tr>
      <w:tr>
        <w:tc>
          <w:tcPr>
            <w:tcW w:w="680" w:type="dxa"/>
          </w:tcPr>
          <w:p>
            <w:pPr>
              <w:pStyle w:val="0"/>
              <w:jc w:val="center"/>
            </w:pPr>
            <w:r>
              <w:rPr>
                <w:sz w:val="20"/>
              </w:rPr>
              <w:t xml:space="preserve">2.</w:t>
            </w:r>
          </w:p>
        </w:tc>
        <w:tc>
          <w:tcPr>
            <w:tcW w:w="2665" w:type="dxa"/>
          </w:tcPr>
          <w:p>
            <w:pPr>
              <w:pStyle w:val="0"/>
            </w:pPr>
            <w:r>
              <w:rPr>
                <w:sz w:val="20"/>
              </w:rPr>
              <w:t xml:space="preserve">Организация и проведение культурно-просветительских, тематических мероприятий, акций, интерактивных программ, посвященных 350-летию со дня рождения Петра I, в том числе музейные занятия для школьников:</w:t>
            </w:r>
          </w:p>
          <w:p>
            <w:pPr>
              <w:pStyle w:val="0"/>
            </w:pPr>
            <w:r>
              <w:rPr>
                <w:sz w:val="20"/>
              </w:rPr>
              <w:t xml:space="preserve">"Роль личности в развитии и становлении образования в России"; "Реформы горнорудного дела Петра I"</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культуры</w:t>
            </w:r>
          </w:p>
          <w:p>
            <w:pPr>
              <w:pStyle w:val="0"/>
            </w:pPr>
            <w:r>
              <w:rPr>
                <w:sz w:val="20"/>
              </w:rPr>
              <w:t xml:space="preserve">автономного</w:t>
            </w:r>
          </w:p>
          <w:p>
            <w:pPr>
              <w:pStyle w:val="0"/>
            </w:pPr>
            <w:r>
              <w:rPr>
                <w:sz w:val="20"/>
              </w:rPr>
              <w:t xml:space="preserve">округа,</w:t>
            </w:r>
          </w:p>
          <w:p>
            <w:pPr>
              <w:pStyle w:val="0"/>
            </w:pPr>
            <w:r>
              <w:rPr>
                <w:sz w:val="20"/>
              </w:rPr>
              <w:t xml:space="preserve">муниципальные образования автономного округа (по согласованию)</w:t>
            </w:r>
          </w:p>
        </w:tc>
        <w:tc>
          <w:tcPr>
            <w:tcW w:w="2721" w:type="dxa"/>
          </w:tcPr>
          <w:p>
            <w:pPr>
              <w:pStyle w:val="0"/>
            </w:pPr>
            <w:r>
              <w:rPr>
                <w:sz w:val="20"/>
              </w:rPr>
              <w:t xml:space="preserve">государственная программа автономного</w:t>
            </w:r>
          </w:p>
          <w:p>
            <w:pPr>
              <w:pStyle w:val="0"/>
            </w:pPr>
            <w:r>
              <w:rPr>
                <w:sz w:val="20"/>
              </w:rPr>
              <w:t xml:space="preserve">округа "Культурное пространство", бюджеты муниципальных образований автономного округа</w:t>
            </w:r>
          </w:p>
        </w:tc>
      </w:tr>
      <w:tr>
        <w:tc>
          <w:tcPr>
            <w:tcW w:w="680" w:type="dxa"/>
          </w:tcPr>
          <w:p>
            <w:pPr>
              <w:pStyle w:val="0"/>
              <w:jc w:val="center"/>
            </w:pPr>
            <w:r>
              <w:rPr>
                <w:sz w:val="20"/>
              </w:rPr>
              <w:t xml:space="preserve">3.</w:t>
            </w:r>
          </w:p>
        </w:tc>
        <w:tc>
          <w:tcPr>
            <w:tcW w:w="2665" w:type="dxa"/>
          </w:tcPr>
          <w:p>
            <w:pPr>
              <w:pStyle w:val="0"/>
            </w:pPr>
            <w:r>
              <w:rPr>
                <w:sz w:val="20"/>
              </w:rPr>
              <w:t xml:space="preserve">Организация и проведение тематических уроков, классных часов, интерактивных занятий, посвященных празднованию 350-летия со дня рождения Петра I</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образования и молодежной политики автономного округа, Департамент культуры автономного округа,</w:t>
            </w:r>
          </w:p>
          <w:p>
            <w:pPr>
              <w:pStyle w:val="0"/>
            </w:pPr>
            <w:r>
              <w:rPr>
                <w:sz w:val="20"/>
              </w:rPr>
              <w:t xml:space="preserve">муниципальные образования автономного округа (по согласованию)</w:t>
            </w:r>
          </w:p>
        </w:tc>
        <w:tc>
          <w:tcPr>
            <w:tcW w:w="2721" w:type="dxa"/>
          </w:tcPr>
          <w:p>
            <w:pPr>
              <w:pStyle w:val="0"/>
            </w:pPr>
            <w:r>
              <w:rPr>
                <w:sz w:val="20"/>
              </w:rPr>
              <w:t xml:space="preserve">государственная программа автономного округа "Развитие образования",</w:t>
            </w:r>
          </w:p>
          <w:p>
            <w:pPr>
              <w:pStyle w:val="0"/>
            </w:pPr>
            <w:r>
              <w:rPr>
                <w:sz w:val="20"/>
              </w:rPr>
              <w:t xml:space="preserve">бюджеты муниципальных образований автономного округа</w:t>
            </w:r>
          </w:p>
        </w:tc>
      </w:tr>
      <w:tr>
        <w:tblPrEx>
          <w:tblBorders>
            <w:insideH w:val="nil"/>
          </w:tblBorders>
        </w:tblPrEx>
        <w:tc>
          <w:tcPr>
            <w:gridSpan w:val="5"/>
            <w:tcW w:w="1007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80" w:type="dxa"/>
            <w:tcBorders>
              <w:top w:val="nil"/>
            </w:tcBorders>
          </w:tcPr>
          <w:p>
            <w:pPr>
              <w:pStyle w:val="0"/>
              <w:jc w:val="center"/>
            </w:pPr>
            <w:r>
              <w:rPr>
                <w:sz w:val="20"/>
              </w:rPr>
              <w:t xml:space="preserve">12.</w:t>
            </w:r>
          </w:p>
        </w:tc>
        <w:tc>
          <w:tcPr>
            <w:tcW w:w="2665" w:type="dxa"/>
            <w:tcBorders>
              <w:top w:val="nil"/>
            </w:tcBorders>
          </w:tcPr>
          <w:p>
            <w:pPr>
              <w:pStyle w:val="0"/>
            </w:pPr>
            <w:r>
              <w:rPr>
                <w:sz w:val="20"/>
              </w:rPr>
              <w:t xml:space="preserve">Выставка "Стольный град Петра". Графика XVIII - XIX веков из фондов Государственного художественного музея</w:t>
            </w:r>
          </w:p>
        </w:tc>
        <w:tc>
          <w:tcPr>
            <w:tcW w:w="1401" w:type="dxa"/>
            <w:tcBorders>
              <w:top w:val="nil"/>
            </w:tcBorders>
          </w:tcPr>
          <w:p>
            <w:pPr>
              <w:pStyle w:val="0"/>
            </w:pPr>
            <w:r>
              <w:rPr>
                <w:sz w:val="20"/>
              </w:rPr>
              <w:t xml:space="preserve">до 30 июня 2022 года</w:t>
            </w:r>
          </w:p>
        </w:tc>
        <w:tc>
          <w:tcPr>
            <w:tcW w:w="2608" w:type="dxa"/>
            <w:tcBorders>
              <w:top w:val="nil"/>
            </w:tcBorders>
          </w:tcPr>
          <w:p>
            <w:pPr>
              <w:pStyle w:val="0"/>
            </w:pPr>
            <w:r>
              <w:rPr>
                <w:sz w:val="20"/>
              </w:rPr>
              <w:t xml:space="preserve">Департамент культуры автономного округа, муниципальные образования автономного округа (по согласованию)</w:t>
            </w:r>
          </w:p>
        </w:tc>
        <w:tc>
          <w:tcPr>
            <w:tcW w:w="2721" w:type="dxa"/>
            <w:tcBorders>
              <w:top w:val="nil"/>
            </w:tcBorders>
          </w:tcPr>
          <w:p>
            <w:pPr>
              <w:pStyle w:val="0"/>
            </w:pPr>
            <w:r>
              <w:rPr>
                <w:sz w:val="20"/>
              </w:rPr>
              <w:t xml:space="preserve">государственная программа автономного "Культурное пространство", бюджеты муниципальных образований автономного округа</w:t>
            </w:r>
          </w:p>
        </w:tc>
      </w:tr>
      <w:tr>
        <w:tc>
          <w:tcPr>
            <w:tcW w:w="680" w:type="dxa"/>
          </w:tcPr>
          <w:p>
            <w:pPr>
              <w:pStyle w:val="0"/>
              <w:jc w:val="center"/>
            </w:pPr>
            <w:r>
              <w:rPr>
                <w:sz w:val="20"/>
              </w:rPr>
              <w:t xml:space="preserve">13.</w:t>
            </w:r>
          </w:p>
        </w:tc>
        <w:tc>
          <w:tcPr>
            <w:tcW w:w="2665" w:type="dxa"/>
          </w:tcPr>
          <w:p>
            <w:pPr>
              <w:pStyle w:val="0"/>
            </w:pPr>
            <w:r>
              <w:rPr>
                <w:sz w:val="20"/>
              </w:rPr>
              <w:t xml:space="preserve">Организация книжных экспозиций, посвященных Петровской эпохе, в общедоступных библиотеках автономного округа</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культуры автономного округа,</w:t>
            </w:r>
          </w:p>
          <w:p>
            <w:pPr>
              <w:pStyle w:val="0"/>
            </w:pPr>
            <w:r>
              <w:rPr>
                <w:sz w:val="20"/>
              </w:rPr>
              <w:t xml:space="preserve">муниципальные образования автономного округа (по согласованию)</w:t>
            </w:r>
          </w:p>
        </w:tc>
        <w:tc>
          <w:tcPr>
            <w:tcW w:w="2721" w:type="dxa"/>
          </w:tcPr>
          <w:p>
            <w:pPr>
              <w:pStyle w:val="0"/>
            </w:pPr>
            <w:r>
              <w:rPr>
                <w:sz w:val="20"/>
              </w:rPr>
              <w:t xml:space="preserve">государственная программа автономного округа "Культурное пространство", бюджеты муниципальных образований автономного округа</w:t>
            </w:r>
          </w:p>
        </w:tc>
      </w:tr>
      <w:tr>
        <w:tc>
          <w:tcPr>
            <w:tcW w:w="680" w:type="dxa"/>
          </w:tcPr>
          <w:p>
            <w:pPr>
              <w:pStyle w:val="0"/>
              <w:jc w:val="center"/>
            </w:pPr>
            <w:r>
              <w:rPr>
                <w:sz w:val="20"/>
              </w:rPr>
              <w:t xml:space="preserve">14.</w:t>
            </w:r>
          </w:p>
        </w:tc>
        <w:tc>
          <w:tcPr>
            <w:tcW w:w="2665" w:type="dxa"/>
          </w:tcPr>
          <w:p>
            <w:pPr>
              <w:pStyle w:val="0"/>
            </w:pPr>
            <w:r>
              <w:rPr>
                <w:sz w:val="20"/>
              </w:rPr>
              <w:t xml:space="preserve">Организация и проведение цикла культурно-просветительских мероприятий к празднованию 350-летия со дня рождения Петра I на базе мультимедийного исторического парка "Моя история" (г. Сургут)</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культуры автономного округа,</w:t>
            </w:r>
          </w:p>
          <w:p>
            <w:pPr>
              <w:pStyle w:val="0"/>
            </w:pPr>
            <w:r>
              <w:rPr>
                <w:sz w:val="20"/>
              </w:rPr>
              <w:t xml:space="preserve">Департамент образования автономного округа,</w:t>
            </w:r>
          </w:p>
          <w:p>
            <w:pPr>
              <w:pStyle w:val="0"/>
            </w:pPr>
            <w:r>
              <w:rPr>
                <w:sz w:val="20"/>
              </w:rPr>
              <w:t xml:space="preserve">муниципальные образования автономного округа (по согласованию)</w:t>
            </w:r>
          </w:p>
        </w:tc>
        <w:tc>
          <w:tcPr>
            <w:tcW w:w="2721" w:type="dxa"/>
          </w:tcPr>
          <w:p>
            <w:pPr>
              <w:pStyle w:val="0"/>
            </w:pPr>
            <w:r>
              <w:rPr>
                <w:sz w:val="20"/>
              </w:rPr>
              <w:t xml:space="preserve">государственная программа автономного округа "Культурное пространство", бюджеты муниципальных образований автономного округа</w:t>
            </w:r>
          </w:p>
        </w:tc>
      </w:tr>
      <w:tr>
        <w:tc>
          <w:tcPr>
            <w:tcW w:w="680" w:type="dxa"/>
          </w:tcPr>
          <w:p>
            <w:pPr>
              <w:pStyle w:val="0"/>
              <w:jc w:val="center"/>
            </w:pPr>
            <w:r>
              <w:rPr>
                <w:sz w:val="20"/>
              </w:rPr>
              <w:t xml:space="preserve">15.</w:t>
            </w:r>
          </w:p>
        </w:tc>
        <w:tc>
          <w:tcPr>
            <w:tcW w:w="2665" w:type="dxa"/>
          </w:tcPr>
          <w:p>
            <w:pPr>
              <w:pStyle w:val="0"/>
            </w:pPr>
            <w:r>
              <w:rPr>
                <w:sz w:val="20"/>
              </w:rPr>
              <w:t xml:space="preserve">Организация и проведение мероприятий в формате "День единых действий" к празднованию 350-летия со дня рождения Петра I</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культуры автономного округа, Департамент образования и молодежной политики автономного округа, муниципальные образования автономного округа (по согласованию)</w:t>
            </w:r>
          </w:p>
        </w:tc>
        <w:tc>
          <w:tcPr>
            <w:tcW w:w="2721" w:type="dxa"/>
          </w:tcPr>
          <w:p>
            <w:pPr>
              <w:pStyle w:val="0"/>
            </w:pPr>
            <w:r>
              <w:rPr>
                <w:sz w:val="20"/>
              </w:rPr>
              <w:t xml:space="preserve">государственные программы автономного округа "Культурное пространство", "Развитие образования", бюджеты муниципальных образований автономного округа</w:t>
            </w:r>
          </w:p>
        </w:tc>
      </w:tr>
      <w:tr>
        <w:tc>
          <w:tcPr>
            <w:tcW w:w="680" w:type="dxa"/>
          </w:tcPr>
          <w:p>
            <w:pPr>
              <w:pStyle w:val="0"/>
              <w:jc w:val="center"/>
            </w:pPr>
            <w:r>
              <w:rPr>
                <w:sz w:val="20"/>
              </w:rPr>
              <w:t xml:space="preserve">16.</w:t>
            </w:r>
          </w:p>
        </w:tc>
        <w:tc>
          <w:tcPr>
            <w:tcW w:w="2665" w:type="dxa"/>
          </w:tcPr>
          <w:p>
            <w:pPr>
              <w:pStyle w:val="0"/>
            </w:pPr>
            <w:r>
              <w:rPr>
                <w:sz w:val="20"/>
              </w:rPr>
              <w:t xml:space="preserve">Организация и проведение круглых столов по профильным темам на исторических факультетах высших учебных заведений, средних специальных учебных заведений автономного округа</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образования и молодежной политики автономного округа, муниципальные образования автономного округа (по согласованию), высшие учебные заведения, средние специальные учебные заведения автономного округа</w:t>
            </w:r>
          </w:p>
          <w:p>
            <w:pPr>
              <w:pStyle w:val="0"/>
            </w:pPr>
            <w:r>
              <w:rPr>
                <w:sz w:val="20"/>
              </w:rPr>
              <w:t xml:space="preserve">(по согласованию)</w:t>
            </w:r>
          </w:p>
        </w:tc>
        <w:tc>
          <w:tcPr>
            <w:tcW w:w="2721" w:type="dxa"/>
          </w:tcPr>
          <w:p>
            <w:pPr>
              <w:pStyle w:val="0"/>
            </w:pPr>
            <w:r>
              <w:rPr>
                <w:sz w:val="20"/>
              </w:rPr>
              <w:t xml:space="preserve">государственная программа автономного округа "Развитие образования",</w:t>
            </w:r>
          </w:p>
          <w:p>
            <w:pPr>
              <w:pStyle w:val="0"/>
            </w:pPr>
            <w:r>
              <w:rPr>
                <w:sz w:val="20"/>
              </w:rPr>
              <w:t xml:space="preserve">бюджеты муниципальных образований автономного округа</w:t>
            </w:r>
          </w:p>
        </w:tc>
      </w:tr>
      <w:tr>
        <w:tc>
          <w:tcPr>
            <w:tcW w:w="680" w:type="dxa"/>
          </w:tcPr>
          <w:p>
            <w:pPr>
              <w:pStyle w:val="0"/>
              <w:jc w:val="center"/>
            </w:pPr>
            <w:r>
              <w:rPr>
                <w:sz w:val="20"/>
              </w:rPr>
              <w:t xml:space="preserve">17.</w:t>
            </w:r>
          </w:p>
        </w:tc>
        <w:tc>
          <w:tcPr>
            <w:tcW w:w="2665" w:type="dxa"/>
          </w:tcPr>
          <w:p>
            <w:pPr>
              <w:pStyle w:val="0"/>
            </w:pPr>
            <w:r>
              <w:rPr>
                <w:sz w:val="20"/>
              </w:rPr>
              <w:t xml:space="preserve">Организация и проведение квиз-турнира "Эпоха Петровских реформ"</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образования и молодежной политики автономного округа, муниципальные образования автономного округа (по согласованию)</w:t>
            </w:r>
          </w:p>
        </w:tc>
        <w:tc>
          <w:tcPr>
            <w:tcW w:w="2721" w:type="dxa"/>
          </w:tcPr>
          <w:p>
            <w:pPr>
              <w:pStyle w:val="0"/>
            </w:pPr>
            <w:r>
              <w:rPr>
                <w:sz w:val="20"/>
              </w:rPr>
              <w:t xml:space="preserve">государственная программа автономного округа "Развитие образования",</w:t>
            </w:r>
          </w:p>
          <w:p>
            <w:pPr>
              <w:pStyle w:val="0"/>
            </w:pPr>
            <w:r>
              <w:rPr>
                <w:sz w:val="20"/>
              </w:rPr>
              <w:t xml:space="preserve">бюджеты муниципальных образований автономного округа</w:t>
            </w:r>
          </w:p>
        </w:tc>
      </w:tr>
      <w:tr>
        <w:tblPrEx>
          <w:tblBorders>
            <w:insideH w:val="nil"/>
          </w:tblBorders>
        </w:tblPrEx>
        <w:tc>
          <w:tcPr>
            <w:gridSpan w:val="5"/>
            <w:tcW w:w="1007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80" w:type="dxa"/>
            <w:tcBorders>
              <w:top w:val="nil"/>
            </w:tcBorders>
          </w:tcPr>
          <w:p>
            <w:pPr>
              <w:pStyle w:val="0"/>
              <w:jc w:val="center"/>
            </w:pPr>
            <w:r>
              <w:rPr>
                <w:sz w:val="20"/>
              </w:rPr>
              <w:t xml:space="preserve">8.</w:t>
            </w:r>
          </w:p>
        </w:tc>
        <w:tc>
          <w:tcPr>
            <w:tcW w:w="2665" w:type="dxa"/>
            <w:tcBorders>
              <w:top w:val="nil"/>
            </w:tcBorders>
          </w:tcPr>
          <w:p>
            <w:pPr>
              <w:pStyle w:val="0"/>
            </w:pPr>
            <w:r>
              <w:rPr>
                <w:sz w:val="20"/>
              </w:rPr>
              <w:t xml:space="preserve">Организация и проведение культурно-просветительских, тематических мероприятий, акций, интерактивных программ, посвященных 350-летию со дня рождения Петра I, в том числе совместных с Президентской библиотекой библиотечных занятий для школьников</w:t>
            </w:r>
          </w:p>
        </w:tc>
        <w:tc>
          <w:tcPr>
            <w:tcW w:w="1401" w:type="dxa"/>
            <w:tcBorders>
              <w:top w:val="nil"/>
            </w:tcBorders>
          </w:tcPr>
          <w:p>
            <w:pPr>
              <w:pStyle w:val="0"/>
            </w:pPr>
            <w:r>
              <w:rPr>
                <w:sz w:val="20"/>
              </w:rPr>
              <w:t xml:space="preserve">до 31 декабря 2022 года</w:t>
            </w:r>
          </w:p>
        </w:tc>
        <w:tc>
          <w:tcPr>
            <w:tcW w:w="2608" w:type="dxa"/>
            <w:tcBorders>
              <w:top w:val="nil"/>
            </w:tcBorders>
          </w:tcPr>
          <w:p>
            <w:pPr>
              <w:pStyle w:val="0"/>
            </w:pPr>
            <w:r>
              <w:rPr>
                <w:sz w:val="20"/>
              </w:rPr>
              <w:t xml:space="preserve">Департамент культуры автономного округа,</w:t>
            </w:r>
          </w:p>
          <w:p>
            <w:pPr>
              <w:pStyle w:val="0"/>
            </w:pPr>
            <w:r>
              <w:rPr>
                <w:sz w:val="20"/>
              </w:rPr>
              <w:t xml:space="preserve">муниципальные образования автономного округа (по согласованию)</w:t>
            </w:r>
          </w:p>
        </w:tc>
        <w:tc>
          <w:tcPr>
            <w:tcW w:w="2721" w:type="dxa"/>
            <w:tcBorders>
              <w:top w:val="nil"/>
            </w:tcBorders>
          </w:tcPr>
          <w:p>
            <w:pPr>
              <w:pStyle w:val="0"/>
            </w:pPr>
            <w:r>
              <w:rPr>
                <w:sz w:val="20"/>
              </w:rPr>
              <w:t xml:space="preserve">государственная программа автономного округа "Культурное пространство", бюджеты муниципальных образований автономного округа</w:t>
            </w:r>
          </w:p>
        </w:tc>
      </w:tr>
      <w:tr>
        <w:tc>
          <w:tcPr>
            <w:tcW w:w="680" w:type="dxa"/>
          </w:tcPr>
          <w:p>
            <w:pPr>
              <w:pStyle w:val="0"/>
              <w:jc w:val="center"/>
            </w:pPr>
            <w:r>
              <w:rPr>
                <w:sz w:val="20"/>
              </w:rPr>
              <w:t xml:space="preserve">20.</w:t>
            </w:r>
          </w:p>
        </w:tc>
        <w:tc>
          <w:tcPr>
            <w:tcW w:w="2665" w:type="dxa"/>
          </w:tcPr>
          <w:p>
            <w:pPr>
              <w:pStyle w:val="0"/>
            </w:pPr>
            <w:r>
              <w:rPr>
                <w:sz w:val="20"/>
              </w:rPr>
              <w:t xml:space="preserve">Открытие выставки одной картины "Петр Великий и его время". Портрет Петра I (XVIII век) из фондов Государственного художественного музея</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культуры автономного округа</w:t>
            </w:r>
          </w:p>
        </w:tc>
        <w:tc>
          <w:tcPr>
            <w:tcW w:w="2721" w:type="dxa"/>
          </w:tcPr>
          <w:p>
            <w:pPr>
              <w:pStyle w:val="0"/>
            </w:pPr>
            <w:r>
              <w:rPr>
                <w:sz w:val="20"/>
              </w:rPr>
              <w:t xml:space="preserve">государственная программа автономного округа "Культурное пространство"</w:t>
            </w:r>
          </w:p>
        </w:tc>
      </w:tr>
      <w:tr>
        <w:tc>
          <w:tcPr>
            <w:tcW w:w="680" w:type="dxa"/>
          </w:tcPr>
          <w:p>
            <w:pPr>
              <w:pStyle w:val="0"/>
              <w:jc w:val="center"/>
            </w:pPr>
            <w:r>
              <w:rPr>
                <w:sz w:val="20"/>
              </w:rPr>
              <w:t xml:space="preserve">21.</w:t>
            </w:r>
          </w:p>
        </w:tc>
        <w:tc>
          <w:tcPr>
            <w:tcW w:w="2665" w:type="dxa"/>
          </w:tcPr>
          <w:p>
            <w:pPr>
              <w:pStyle w:val="0"/>
            </w:pPr>
            <w:r>
              <w:rPr>
                <w:sz w:val="20"/>
              </w:rPr>
              <w:t xml:space="preserve">Показ тематического фильма, в рамках культурной программы международного фестиваля кинематографических дебютов "Дух огня"</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культуры автономного округа</w:t>
            </w:r>
          </w:p>
        </w:tc>
        <w:tc>
          <w:tcPr>
            <w:tcW w:w="2721" w:type="dxa"/>
          </w:tcPr>
          <w:p>
            <w:pPr>
              <w:pStyle w:val="0"/>
            </w:pPr>
            <w:r>
              <w:rPr>
                <w:sz w:val="20"/>
              </w:rPr>
              <w:t xml:space="preserve">государственная программа автономного округа "Культурное пространство"</w:t>
            </w:r>
          </w:p>
        </w:tc>
      </w:tr>
      <w:tr>
        <w:tc>
          <w:tcPr>
            <w:tcW w:w="680" w:type="dxa"/>
          </w:tcPr>
          <w:p>
            <w:pPr>
              <w:pStyle w:val="0"/>
              <w:jc w:val="center"/>
            </w:pPr>
            <w:r>
              <w:rPr>
                <w:sz w:val="20"/>
              </w:rPr>
              <w:t xml:space="preserve">22.</w:t>
            </w:r>
          </w:p>
        </w:tc>
        <w:tc>
          <w:tcPr>
            <w:tcW w:w="2665" w:type="dxa"/>
          </w:tcPr>
          <w:p>
            <w:pPr>
              <w:pStyle w:val="0"/>
            </w:pPr>
            <w:r>
              <w:rPr>
                <w:sz w:val="20"/>
              </w:rPr>
              <w:t xml:space="preserve">Освещение в региональных средствах массовой информации мероприятий по подготовке и проведению 350-летия со дня рождения Петра I</w:t>
            </w:r>
          </w:p>
        </w:tc>
        <w:tc>
          <w:tcPr>
            <w:tcW w:w="1401" w:type="dxa"/>
          </w:tcPr>
          <w:p>
            <w:pPr>
              <w:pStyle w:val="0"/>
            </w:pPr>
            <w:r>
              <w:rPr>
                <w:sz w:val="20"/>
              </w:rPr>
              <w:t xml:space="preserve">до 31 декабря 2022 года</w:t>
            </w:r>
          </w:p>
        </w:tc>
        <w:tc>
          <w:tcPr>
            <w:tcW w:w="2608" w:type="dxa"/>
          </w:tcPr>
          <w:p>
            <w:pPr>
              <w:pStyle w:val="0"/>
            </w:pPr>
            <w:r>
              <w:rPr>
                <w:sz w:val="20"/>
              </w:rPr>
              <w:t xml:space="preserve">Департамент общественных и внешних связей автономного округа</w:t>
            </w:r>
          </w:p>
        </w:tc>
        <w:tc>
          <w:tcPr>
            <w:tcW w:w="2721" w:type="dxa"/>
          </w:tcPr>
          <w:p>
            <w:pPr>
              <w:pStyle w:val="0"/>
            </w:pPr>
            <w:r>
              <w:rPr>
                <w:sz w:val="20"/>
              </w:rPr>
              <w:t xml:space="preserve">государственная программа автономного округа "Развитие гражданского общества"</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798" w:name="P1798"/>
    <w:bookmarkEnd w:id="1798"/>
    <w:p>
      <w:pPr>
        <w:pStyle w:val="2"/>
        <w:jc w:val="center"/>
      </w:pPr>
      <w:r>
        <w:rPr>
          <w:sz w:val="20"/>
        </w:rPr>
        <w:t xml:space="preserve">ПЛАН</w:t>
      </w:r>
    </w:p>
    <w:p>
      <w:pPr>
        <w:pStyle w:val="2"/>
        <w:jc w:val="center"/>
      </w:pPr>
      <w:r>
        <w:rPr>
          <w:sz w:val="20"/>
        </w:rPr>
        <w:t xml:space="preserve">ОСНОВНЫХ МЕРОПРИЯТИЙ, ПОСВЯЩЕННЫХ УВЕКОВЕЧЕНИЮ ПАМЯТИ</w:t>
      </w:r>
    </w:p>
    <w:p>
      <w:pPr>
        <w:pStyle w:val="2"/>
        <w:jc w:val="center"/>
      </w:pPr>
      <w:r>
        <w:rPr>
          <w:sz w:val="20"/>
        </w:rPr>
        <w:t xml:space="preserve">ГЕННАДИЯ СТЕПАНОВИЧА РАЙШЕВА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6"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color w:val="392c69"/>
              </w:rPr>
              <w:t xml:space="preserve"> Правительства ХМАО - Югры от 17.03.2022 N 93-п)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608"/>
        <w:gridCol w:w="1480"/>
        <w:gridCol w:w="2064"/>
        <w:gridCol w:w="2376"/>
      </w:tblGrid>
      <w:tr>
        <w:tc>
          <w:tcPr>
            <w:tcW w:w="540" w:type="dxa"/>
          </w:tcPr>
          <w:p>
            <w:pPr>
              <w:pStyle w:val="0"/>
              <w:jc w:val="center"/>
            </w:pPr>
            <w:r>
              <w:rPr>
                <w:sz w:val="20"/>
              </w:rPr>
              <w:t xml:space="preserve">N п/п</w:t>
            </w:r>
          </w:p>
        </w:tc>
        <w:tc>
          <w:tcPr>
            <w:tcW w:w="2608" w:type="dxa"/>
          </w:tcPr>
          <w:p>
            <w:pPr>
              <w:pStyle w:val="0"/>
              <w:jc w:val="center"/>
            </w:pPr>
            <w:r>
              <w:rPr>
                <w:sz w:val="20"/>
              </w:rPr>
              <w:t xml:space="preserve">Наименование мероприятия</w:t>
            </w:r>
          </w:p>
        </w:tc>
        <w:tc>
          <w:tcPr>
            <w:tcW w:w="1480" w:type="dxa"/>
          </w:tcPr>
          <w:p>
            <w:pPr>
              <w:pStyle w:val="0"/>
              <w:jc w:val="center"/>
            </w:pPr>
            <w:r>
              <w:rPr>
                <w:sz w:val="20"/>
              </w:rPr>
              <w:t xml:space="preserve">Сроки исполнения</w:t>
            </w:r>
          </w:p>
        </w:tc>
        <w:tc>
          <w:tcPr>
            <w:tcW w:w="2064" w:type="dxa"/>
          </w:tcPr>
          <w:p>
            <w:pPr>
              <w:pStyle w:val="0"/>
              <w:jc w:val="center"/>
            </w:pPr>
            <w:r>
              <w:rPr>
                <w:sz w:val="20"/>
              </w:rPr>
              <w:t xml:space="preserve">Ответственный исполнитель</w:t>
            </w:r>
          </w:p>
        </w:tc>
        <w:tc>
          <w:tcPr>
            <w:tcW w:w="2376" w:type="dxa"/>
          </w:tcPr>
          <w:p>
            <w:pPr>
              <w:pStyle w:val="0"/>
              <w:jc w:val="center"/>
            </w:pPr>
            <w:r>
              <w:rPr>
                <w:sz w:val="20"/>
              </w:rPr>
              <w:t xml:space="preserve">Источники финансирования</w:t>
            </w:r>
          </w:p>
        </w:tc>
      </w:tr>
      <w:tr>
        <w:tc>
          <w:tcPr>
            <w:tcW w:w="540" w:type="dxa"/>
          </w:tcPr>
          <w:p>
            <w:pPr>
              <w:pStyle w:val="0"/>
              <w:jc w:val="center"/>
            </w:pPr>
            <w:r>
              <w:rPr>
                <w:sz w:val="20"/>
              </w:rPr>
              <w:t xml:space="preserve">1</w:t>
            </w:r>
          </w:p>
        </w:tc>
        <w:tc>
          <w:tcPr>
            <w:tcW w:w="2608" w:type="dxa"/>
          </w:tcPr>
          <w:p>
            <w:pPr>
              <w:pStyle w:val="0"/>
              <w:jc w:val="center"/>
            </w:pPr>
            <w:r>
              <w:rPr>
                <w:sz w:val="20"/>
              </w:rPr>
              <w:t xml:space="preserve">2</w:t>
            </w:r>
          </w:p>
        </w:tc>
        <w:tc>
          <w:tcPr>
            <w:tcW w:w="1480" w:type="dxa"/>
          </w:tcPr>
          <w:p>
            <w:pPr>
              <w:pStyle w:val="0"/>
              <w:jc w:val="center"/>
            </w:pPr>
            <w:r>
              <w:rPr>
                <w:sz w:val="20"/>
              </w:rPr>
              <w:t xml:space="preserve">3</w:t>
            </w:r>
          </w:p>
        </w:tc>
        <w:tc>
          <w:tcPr>
            <w:tcW w:w="2064" w:type="dxa"/>
          </w:tcPr>
          <w:p>
            <w:pPr>
              <w:pStyle w:val="0"/>
              <w:jc w:val="center"/>
            </w:pPr>
            <w:r>
              <w:rPr>
                <w:sz w:val="20"/>
              </w:rPr>
              <w:t xml:space="preserve">4</w:t>
            </w:r>
          </w:p>
        </w:tc>
        <w:tc>
          <w:tcPr>
            <w:tcW w:w="2376" w:type="dxa"/>
          </w:tcPr>
          <w:p>
            <w:pPr>
              <w:pStyle w:val="0"/>
              <w:jc w:val="center"/>
            </w:pPr>
            <w:r>
              <w:rPr>
                <w:sz w:val="20"/>
              </w:rPr>
              <w:t xml:space="preserve">5</w:t>
            </w:r>
          </w:p>
        </w:tc>
      </w:tr>
      <w:tr>
        <w:tblPrEx>
          <w:tblBorders>
            <w:insideH w:val="nil"/>
          </w:tblBorders>
        </w:tblPrEx>
        <w:tc>
          <w:tcPr>
            <w:tcW w:w="540" w:type="dxa"/>
            <w:tcBorders>
              <w:bottom w:val="nil"/>
            </w:tcBorders>
          </w:tcPr>
          <w:p>
            <w:pPr>
              <w:pStyle w:val="0"/>
            </w:pPr>
            <w:r>
              <w:rPr>
                <w:sz w:val="20"/>
              </w:rPr>
              <w:t xml:space="preserve">1</w:t>
            </w:r>
          </w:p>
        </w:tc>
        <w:tc>
          <w:tcPr>
            <w:tcW w:w="2608" w:type="dxa"/>
            <w:tcBorders>
              <w:bottom w:val="nil"/>
            </w:tcBorders>
          </w:tcPr>
          <w:p>
            <w:pPr>
              <w:pStyle w:val="0"/>
            </w:pPr>
            <w:r>
              <w:rPr>
                <w:sz w:val="20"/>
              </w:rPr>
              <w:t xml:space="preserve">Организация передвижной выставки работ Г.С. Райшева</w:t>
            </w:r>
          </w:p>
        </w:tc>
        <w:tc>
          <w:tcPr>
            <w:tcW w:w="1480" w:type="dxa"/>
            <w:tcBorders>
              <w:bottom w:val="nil"/>
            </w:tcBorders>
          </w:tcPr>
          <w:p>
            <w:pPr>
              <w:pStyle w:val="0"/>
            </w:pPr>
            <w:r>
              <w:rPr>
                <w:sz w:val="20"/>
              </w:rPr>
              <w:t xml:space="preserve">до 15 декабря 2022 года</w:t>
            </w:r>
          </w:p>
        </w:tc>
        <w:tc>
          <w:tcPr>
            <w:tcW w:w="2064" w:type="dxa"/>
            <w:tcBorders>
              <w:bottom w:val="nil"/>
            </w:tcBorders>
          </w:tcPr>
          <w:p>
            <w:pPr>
              <w:pStyle w:val="0"/>
            </w:pPr>
            <w:r>
              <w:rPr>
                <w:sz w:val="20"/>
              </w:rPr>
              <w:t xml:space="preserve">Депкультуры Югры, Государственный художественный музей (по согласованию)</w:t>
            </w:r>
          </w:p>
        </w:tc>
        <w:tc>
          <w:tcPr>
            <w:tcW w:w="2376" w:type="dxa"/>
            <w:tcBorders>
              <w:bottom w:val="nil"/>
            </w:tcBorders>
          </w:tcPr>
          <w:p>
            <w:pPr>
              <w:pStyle w:val="0"/>
            </w:pPr>
            <w:r>
              <w:rPr>
                <w:sz w:val="20"/>
              </w:rPr>
              <w:t xml:space="preserve">государственная </w:t>
            </w:r>
            <w:hyperlink w:history="0" r:id="rId32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автономного округа "Культурное пространство", утвержденная постановлением Правительства автономного округа от 31 октября 2021 года N 470-п (далее - государственная программа автономного округа "Культурное пространство")</w:t>
            </w:r>
          </w:p>
        </w:tc>
      </w:tr>
      <w:tr>
        <w:tblPrEx>
          <w:tblBorders>
            <w:insideH w:val="nil"/>
          </w:tblBorders>
        </w:tblPrEx>
        <w:tc>
          <w:tcPr>
            <w:gridSpan w:val="5"/>
            <w:tcW w:w="9068" w:type="dxa"/>
            <w:tcBorders>
              <w:top w:val="nil"/>
            </w:tcBorders>
          </w:tcPr>
          <w:p>
            <w:pPr>
              <w:pStyle w:val="0"/>
              <w:jc w:val="both"/>
            </w:pPr>
            <w:r>
              <w:rPr>
                <w:sz w:val="20"/>
              </w:rPr>
              <w:t xml:space="preserve">(п. 1 в ред. </w:t>
            </w:r>
            <w:hyperlink w:history="0" r:id="rId328" w:tooltip="Постановление Правительства ХМАО - Югры от 17.03.2022 N 9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17.03.2022 N 93-п)</w:t>
            </w:r>
          </w:p>
        </w:tc>
      </w:tr>
      <w:tr>
        <w:tc>
          <w:tcPr>
            <w:tcW w:w="540" w:type="dxa"/>
          </w:tcPr>
          <w:p>
            <w:pPr>
              <w:pStyle w:val="0"/>
            </w:pPr>
            <w:r>
              <w:rPr>
                <w:sz w:val="20"/>
              </w:rPr>
              <w:t xml:space="preserve">2</w:t>
            </w:r>
          </w:p>
        </w:tc>
        <w:tc>
          <w:tcPr>
            <w:tcW w:w="2608" w:type="dxa"/>
          </w:tcPr>
          <w:p>
            <w:pPr>
              <w:pStyle w:val="0"/>
            </w:pPr>
            <w:r>
              <w:rPr>
                <w:sz w:val="20"/>
              </w:rPr>
              <w:t xml:space="preserve">Организация и проведение цикла мероприятий "Международный Арт-пленэр. Творческая школа Г.С. Райшева"</w:t>
            </w:r>
          </w:p>
        </w:tc>
        <w:tc>
          <w:tcPr>
            <w:tcW w:w="1480" w:type="dxa"/>
          </w:tcPr>
          <w:p>
            <w:pPr>
              <w:pStyle w:val="0"/>
            </w:pPr>
            <w:r>
              <w:rPr>
                <w:sz w:val="20"/>
              </w:rPr>
              <w:t xml:space="preserve">до 15 декабря 2022 года,</w:t>
            </w:r>
          </w:p>
          <w:p>
            <w:pPr>
              <w:pStyle w:val="0"/>
            </w:pPr>
            <w:r>
              <w:rPr>
                <w:sz w:val="20"/>
              </w:rPr>
              <w:t xml:space="preserve">до 15 декабря 2024 года</w:t>
            </w:r>
          </w:p>
        </w:tc>
        <w:tc>
          <w:tcPr>
            <w:tcW w:w="2064" w:type="dxa"/>
          </w:tcPr>
          <w:p>
            <w:pPr>
              <w:pStyle w:val="0"/>
            </w:pPr>
            <w:r>
              <w:rPr>
                <w:sz w:val="20"/>
              </w:rPr>
              <w:t xml:space="preserve">Депкультуры Югры, Государственный художественный музей (по согласованию)</w:t>
            </w:r>
          </w:p>
        </w:tc>
        <w:tc>
          <w:tcPr>
            <w:tcW w:w="2376" w:type="dxa"/>
          </w:tcPr>
          <w:p>
            <w:pPr>
              <w:pStyle w:val="0"/>
            </w:pPr>
            <w:r>
              <w:rPr>
                <w:sz w:val="20"/>
              </w:rPr>
              <w:t xml:space="preserve">Государственная </w:t>
            </w:r>
            <w:hyperlink w:history="0" r:id="rId329"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программа</w:t>
              </w:r>
            </w:hyperlink>
            <w:r>
              <w:rPr>
                <w:sz w:val="20"/>
              </w:rPr>
              <w:t xml:space="preserve"> автономного округа "Культурное пространство"</w:t>
            </w:r>
          </w:p>
        </w:tc>
      </w:tr>
      <w:tr>
        <w:tc>
          <w:tcPr>
            <w:tcW w:w="540" w:type="dxa"/>
          </w:tcPr>
          <w:p>
            <w:pPr>
              <w:pStyle w:val="0"/>
            </w:pPr>
            <w:r>
              <w:rPr>
                <w:sz w:val="20"/>
              </w:rPr>
              <w:t xml:space="preserve">3</w:t>
            </w:r>
          </w:p>
        </w:tc>
        <w:tc>
          <w:tcPr>
            <w:tcW w:w="2608" w:type="dxa"/>
          </w:tcPr>
          <w:p>
            <w:pPr>
              <w:pStyle w:val="0"/>
            </w:pPr>
            <w:r>
              <w:rPr>
                <w:sz w:val="20"/>
              </w:rPr>
              <w:t xml:space="preserve">Создание культурно-образовательного проекта, пропагандирующего творчество Г.С. Райшева, включающего проведение мероприятий для школьников на льготных условиях</w:t>
            </w:r>
          </w:p>
        </w:tc>
        <w:tc>
          <w:tcPr>
            <w:tcW w:w="1480" w:type="dxa"/>
          </w:tcPr>
          <w:p>
            <w:pPr>
              <w:pStyle w:val="0"/>
            </w:pPr>
            <w:r>
              <w:rPr>
                <w:sz w:val="20"/>
              </w:rPr>
              <w:t xml:space="preserve">до 1 декабря 2022 года</w:t>
            </w:r>
          </w:p>
        </w:tc>
        <w:tc>
          <w:tcPr>
            <w:tcW w:w="2064" w:type="dxa"/>
          </w:tcPr>
          <w:p>
            <w:pPr>
              <w:pStyle w:val="0"/>
            </w:pPr>
            <w:r>
              <w:rPr>
                <w:sz w:val="20"/>
              </w:rPr>
              <w:t xml:space="preserve">Депкультуры Югры, Государственный художественный музей (по согласованию)</w:t>
            </w:r>
          </w:p>
        </w:tc>
        <w:tc>
          <w:tcPr>
            <w:tcW w:w="2376" w:type="dxa"/>
          </w:tcPr>
          <w:p>
            <w:pPr>
              <w:pStyle w:val="0"/>
            </w:pPr>
            <w:r>
              <w:rPr>
                <w:sz w:val="20"/>
              </w:rPr>
              <w:t xml:space="preserve">Государственная </w:t>
            </w:r>
            <w:hyperlink w:history="0" r:id="rId330"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программа</w:t>
              </w:r>
            </w:hyperlink>
            <w:r>
              <w:rPr>
                <w:sz w:val="20"/>
              </w:rPr>
              <w:t xml:space="preserve"> автономного округа "Культурное пространство"</w:t>
            </w:r>
          </w:p>
        </w:tc>
      </w:tr>
      <w:tr>
        <w:tc>
          <w:tcPr>
            <w:tcW w:w="540" w:type="dxa"/>
          </w:tcPr>
          <w:p>
            <w:pPr>
              <w:pStyle w:val="0"/>
            </w:pPr>
            <w:r>
              <w:rPr>
                <w:sz w:val="20"/>
              </w:rPr>
              <w:t xml:space="preserve">4</w:t>
            </w:r>
          </w:p>
        </w:tc>
        <w:tc>
          <w:tcPr>
            <w:tcW w:w="2608" w:type="dxa"/>
          </w:tcPr>
          <w:p>
            <w:pPr>
              <w:pStyle w:val="0"/>
            </w:pPr>
            <w:r>
              <w:rPr>
                <w:sz w:val="20"/>
              </w:rPr>
              <w:t xml:space="preserve">Производство авторской телепрограммы о жизни и творчестве Г.С. Райшева</w:t>
            </w:r>
          </w:p>
        </w:tc>
        <w:tc>
          <w:tcPr>
            <w:tcW w:w="1480" w:type="dxa"/>
          </w:tcPr>
          <w:p>
            <w:pPr>
              <w:pStyle w:val="0"/>
            </w:pPr>
            <w:r>
              <w:rPr>
                <w:sz w:val="20"/>
              </w:rPr>
              <w:t xml:space="preserve">до 1 декабря 2023 года</w:t>
            </w:r>
          </w:p>
        </w:tc>
        <w:tc>
          <w:tcPr>
            <w:tcW w:w="2064" w:type="dxa"/>
          </w:tcPr>
          <w:p>
            <w:pPr>
              <w:pStyle w:val="0"/>
            </w:pPr>
            <w:r>
              <w:rPr>
                <w:sz w:val="20"/>
              </w:rPr>
              <w:t xml:space="preserve">Департамент общественных и внешних связей автономного округа</w:t>
            </w:r>
          </w:p>
        </w:tc>
        <w:tc>
          <w:tcPr>
            <w:tcW w:w="2376" w:type="dxa"/>
          </w:tcPr>
          <w:p>
            <w:pPr>
              <w:pStyle w:val="0"/>
            </w:pPr>
            <w:r>
              <w:rPr>
                <w:sz w:val="20"/>
              </w:rPr>
              <w:t xml:space="preserve">Государственная программа автономного округа "Развитие гражданского общества"</w:t>
            </w:r>
          </w:p>
        </w:tc>
      </w:tr>
      <w:tr>
        <w:tc>
          <w:tcPr>
            <w:tcW w:w="540" w:type="dxa"/>
          </w:tcPr>
          <w:p>
            <w:pPr>
              <w:pStyle w:val="0"/>
            </w:pPr>
            <w:r>
              <w:rPr>
                <w:sz w:val="20"/>
              </w:rPr>
              <w:t xml:space="preserve">5</w:t>
            </w:r>
          </w:p>
        </w:tc>
        <w:tc>
          <w:tcPr>
            <w:tcW w:w="2608" w:type="dxa"/>
          </w:tcPr>
          <w:p>
            <w:pPr>
              <w:pStyle w:val="0"/>
            </w:pPr>
            <w:r>
              <w:rPr>
                <w:sz w:val="20"/>
              </w:rPr>
              <w:t xml:space="preserve">Учреждение премии имени Г.С. Райшева</w:t>
            </w:r>
          </w:p>
        </w:tc>
        <w:tc>
          <w:tcPr>
            <w:tcW w:w="1480" w:type="dxa"/>
          </w:tcPr>
          <w:p>
            <w:pPr>
              <w:pStyle w:val="0"/>
            </w:pPr>
            <w:r>
              <w:rPr>
                <w:sz w:val="20"/>
              </w:rPr>
              <w:t xml:space="preserve">до 1 декабря 2023 года</w:t>
            </w:r>
          </w:p>
        </w:tc>
        <w:tc>
          <w:tcPr>
            <w:tcW w:w="2064" w:type="dxa"/>
          </w:tcPr>
          <w:p>
            <w:pPr>
              <w:pStyle w:val="0"/>
            </w:pPr>
            <w:r>
              <w:rPr>
                <w:sz w:val="20"/>
              </w:rPr>
              <w:t xml:space="preserve">Депкультуры Югры, Государственный художественный музей (по согласованию)</w:t>
            </w:r>
          </w:p>
        </w:tc>
        <w:tc>
          <w:tcPr>
            <w:tcW w:w="2376" w:type="dxa"/>
          </w:tcPr>
          <w:p>
            <w:pPr>
              <w:pStyle w:val="0"/>
            </w:pPr>
            <w:r>
              <w:rPr>
                <w:sz w:val="20"/>
              </w:rPr>
              <w:t xml:space="preserve">Государственная </w:t>
            </w:r>
            <w:hyperlink w:history="0" r:id="rId331"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программа</w:t>
              </w:r>
            </w:hyperlink>
            <w:r>
              <w:rPr>
                <w:sz w:val="20"/>
              </w:rPr>
              <w:t xml:space="preserve"> автономного округа "Культурное пространство"</w:t>
            </w:r>
          </w:p>
        </w:tc>
      </w:tr>
      <w:tr>
        <w:tc>
          <w:tcPr>
            <w:tcW w:w="540" w:type="dxa"/>
          </w:tcPr>
          <w:p>
            <w:pPr>
              <w:pStyle w:val="0"/>
            </w:pPr>
            <w:r>
              <w:rPr>
                <w:sz w:val="20"/>
              </w:rPr>
              <w:t xml:space="preserve">6</w:t>
            </w:r>
          </w:p>
        </w:tc>
        <w:tc>
          <w:tcPr>
            <w:tcW w:w="2608" w:type="dxa"/>
          </w:tcPr>
          <w:p>
            <w:pPr>
              <w:pStyle w:val="0"/>
            </w:pPr>
            <w:r>
              <w:rPr>
                <w:sz w:val="20"/>
              </w:rPr>
              <w:t xml:space="preserve">Организация персональной выставки Г.С. Райшева в федеральном учреждении культуры и искусств (по согласованию), приуроченной к 90-летию художника</w:t>
            </w:r>
          </w:p>
        </w:tc>
        <w:tc>
          <w:tcPr>
            <w:tcW w:w="1480" w:type="dxa"/>
          </w:tcPr>
          <w:p>
            <w:pPr>
              <w:pStyle w:val="0"/>
            </w:pPr>
            <w:r>
              <w:rPr>
                <w:sz w:val="20"/>
              </w:rPr>
              <w:t xml:space="preserve">до 1 декабря 2024 года</w:t>
            </w:r>
          </w:p>
        </w:tc>
        <w:tc>
          <w:tcPr>
            <w:tcW w:w="2064" w:type="dxa"/>
          </w:tcPr>
          <w:p>
            <w:pPr>
              <w:pStyle w:val="0"/>
            </w:pPr>
            <w:r>
              <w:rPr>
                <w:sz w:val="20"/>
              </w:rPr>
              <w:t xml:space="preserve">Депкультуры Югры, Государственный художественный музей (по согласованию)</w:t>
            </w:r>
          </w:p>
        </w:tc>
        <w:tc>
          <w:tcPr>
            <w:tcW w:w="2376" w:type="dxa"/>
          </w:tcPr>
          <w:p>
            <w:pPr>
              <w:pStyle w:val="0"/>
            </w:pPr>
            <w:r>
              <w:rPr>
                <w:sz w:val="20"/>
              </w:rPr>
              <w:t xml:space="preserve">Государственная </w:t>
            </w:r>
            <w:hyperlink w:history="0" r:id="rId332"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программа</w:t>
              </w:r>
            </w:hyperlink>
            <w:r>
              <w:rPr>
                <w:sz w:val="20"/>
              </w:rPr>
              <w:t xml:space="preserve"> автономного округа "Культурное пространство"</w:t>
            </w:r>
          </w:p>
        </w:tc>
      </w:tr>
      <w:tr>
        <w:tc>
          <w:tcPr>
            <w:tcW w:w="540" w:type="dxa"/>
          </w:tcPr>
          <w:p>
            <w:pPr>
              <w:pStyle w:val="0"/>
            </w:pPr>
            <w:r>
              <w:rPr>
                <w:sz w:val="20"/>
              </w:rPr>
              <w:t xml:space="preserve">7</w:t>
            </w:r>
          </w:p>
        </w:tc>
        <w:tc>
          <w:tcPr>
            <w:tcW w:w="2608" w:type="dxa"/>
          </w:tcPr>
          <w:p>
            <w:pPr>
              <w:pStyle w:val="0"/>
            </w:pPr>
            <w:r>
              <w:rPr>
                <w:sz w:val="20"/>
              </w:rPr>
              <w:t xml:space="preserve">Издание альбома-каталога работ Г.С. Райшева</w:t>
            </w:r>
          </w:p>
        </w:tc>
        <w:tc>
          <w:tcPr>
            <w:tcW w:w="1480" w:type="dxa"/>
          </w:tcPr>
          <w:p>
            <w:pPr>
              <w:pStyle w:val="0"/>
            </w:pPr>
            <w:r>
              <w:rPr>
                <w:sz w:val="20"/>
              </w:rPr>
              <w:t xml:space="preserve">до 1 декабря 2024 года</w:t>
            </w:r>
          </w:p>
        </w:tc>
        <w:tc>
          <w:tcPr>
            <w:tcW w:w="2064" w:type="dxa"/>
          </w:tcPr>
          <w:p>
            <w:pPr>
              <w:pStyle w:val="0"/>
            </w:pPr>
            <w:r>
              <w:rPr>
                <w:sz w:val="20"/>
              </w:rPr>
              <w:t xml:space="preserve">Депкультуры Югры, Государственный художественный музей (по согласованию)</w:t>
            </w:r>
          </w:p>
        </w:tc>
        <w:tc>
          <w:tcPr>
            <w:tcW w:w="2376" w:type="dxa"/>
          </w:tcPr>
          <w:p>
            <w:pPr>
              <w:pStyle w:val="0"/>
            </w:pPr>
            <w:r>
              <w:rPr>
                <w:sz w:val="20"/>
              </w:rPr>
              <w:t xml:space="preserve">Государственная </w:t>
            </w:r>
            <w:hyperlink w:history="0" r:id="rId333"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программа</w:t>
              </w:r>
            </w:hyperlink>
            <w:r>
              <w:rPr>
                <w:sz w:val="20"/>
              </w:rPr>
              <w:t xml:space="preserve"> автономного округа "Культурное пространство"</w:t>
            </w:r>
          </w:p>
        </w:tc>
      </w:tr>
      <w:tr>
        <w:tc>
          <w:tcPr>
            <w:tcW w:w="540" w:type="dxa"/>
          </w:tcPr>
          <w:p>
            <w:pPr>
              <w:pStyle w:val="0"/>
            </w:pPr>
            <w:r>
              <w:rPr>
                <w:sz w:val="20"/>
              </w:rPr>
              <w:t xml:space="preserve">8</w:t>
            </w:r>
          </w:p>
        </w:tc>
        <w:tc>
          <w:tcPr>
            <w:tcW w:w="2608" w:type="dxa"/>
          </w:tcPr>
          <w:p>
            <w:pPr>
              <w:pStyle w:val="0"/>
            </w:pPr>
            <w:r>
              <w:rPr>
                <w:sz w:val="20"/>
              </w:rPr>
              <w:t xml:space="preserve">Создание скульптурной композиции, посвященной Г.С. Райшеву перед зданием галереи-мастерской художника</w:t>
            </w:r>
          </w:p>
        </w:tc>
        <w:tc>
          <w:tcPr>
            <w:tcW w:w="1480" w:type="dxa"/>
          </w:tcPr>
          <w:p>
            <w:pPr>
              <w:pStyle w:val="0"/>
            </w:pPr>
            <w:r>
              <w:rPr>
                <w:sz w:val="20"/>
              </w:rPr>
              <w:t xml:space="preserve">до 1 декабря 2024 года</w:t>
            </w:r>
          </w:p>
        </w:tc>
        <w:tc>
          <w:tcPr>
            <w:tcW w:w="2064" w:type="dxa"/>
          </w:tcPr>
          <w:p>
            <w:pPr>
              <w:pStyle w:val="0"/>
            </w:pPr>
            <w:r>
              <w:rPr>
                <w:sz w:val="20"/>
              </w:rPr>
              <w:t xml:space="preserve">Депкультуры Югры, Администрация города Ханты-Мансийска (по согласованию)</w:t>
            </w:r>
          </w:p>
        </w:tc>
        <w:tc>
          <w:tcPr>
            <w:tcW w:w="2376" w:type="dxa"/>
          </w:tcPr>
          <w:p>
            <w:pPr>
              <w:pStyle w:val="0"/>
            </w:pPr>
            <w:r>
              <w:rPr>
                <w:sz w:val="20"/>
              </w:rPr>
              <w:t xml:space="preserve">Государственная </w:t>
            </w:r>
            <w:hyperlink w:history="0" r:id="rId334"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программа</w:t>
              </w:r>
            </w:hyperlink>
            <w:r>
              <w:rPr>
                <w:sz w:val="20"/>
              </w:rPr>
              <w:t xml:space="preserve"> автономного округа "Культурное пространство"</w:t>
            </w:r>
          </w:p>
        </w:tc>
      </w:tr>
      <w:tr>
        <w:tc>
          <w:tcPr>
            <w:tcW w:w="540" w:type="dxa"/>
          </w:tcPr>
          <w:p>
            <w:pPr>
              <w:pStyle w:val="0"/>
            </w:pPr>
            <w:r>
              <w:rPr>
                <w:sz w:val="20"/>
              </w:rPr>
              <w:t xml:space="preserve">9</w:t>
            </w:r>
          </w:p>
        </w:tc>
        <w:tc>
          <w:tcPr>
            <w:tcW w:w="2608" w:type="dxa"/>
          </w:tcPr>
          <w:p>
            <w:pPr>
              <w:pStyle w:val="0"/>
            </w:pPr>
            <w:r>
              <w:rPr>
                <w:sz w:val="20"/>
              </w:rPr>
              <w:t xml:space="preserve">Установка мемориальной доски с портретом художника</w:t>
            </w:r>
          </w:p>
        </w:tc>
        <w:tc>
          <w:tcPr>
            <w:tcW w:w="1480" w:type="dxa"/>
          </w:tcPr>
          <w:p>
            <w:pPr>
              <w:pStyle w:val="0"/>
            </w:pPr>
            <w:r>
              <w:rPr>
                <w:sz w:val="20"/>
              </w:rPr>
              <w:t xml:space="preserve">до 1 декабря 2024 года</w:t>
            </w:r>
          </w:p>
        </w:tc>
        <w:tc>
          <w:tcPr>
            <w:tcW w:w="2064" w:type="dxa"/>
          </w:tcPr>
          <w:p>
            <w:pPr>
              <w:pStyle w:val="0"/>
            </w:pPr>
            <w:r>
              <w:rPr>
                <w:sz w:val="20"/>
              </w:rPr>
              <w:t xml:space="preserve">Депкультуры Югры, Администрация города Ханты-Мансийска (по согласованию)</w:t>
            </w:r>
          </w:p>
        </w:tc>
        <w:tc>
          <w:tcPr>
            <w:tcW w:w="2376" w:type="dxa"/>
          </w:tcPr>
          <w:p>
            <w:pPr>
              <w:pStyle w:val="0"/>
            </w:pPr>
            <w:r>
              <w:rPr>
                <w:sz w:val="20"/>
              </w:rPr>
              <w:t xml:space="preserve">Государственная </w:t>
            </w:r>
            <w:hyperlink w:history="0" r:id="rId335"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программа</w:t>
              </w:r>
            </w:hyperlink>
            <w:r>
              <w:rPr>
                <w:sz w:val="20"/>
              </w:rPr>
              <w:t xml:space="preserve"> автономного округа "Культурное пространство"</w:t>
            </w:r>
          </w:p>
        </w:tc>
      </w:tr>
      <w:tr>
        <w:tc>
          <w:tcPr>
            <w:tcW w:w="540" w:type="dxa"/>
          </w:tcPr>
          <w:p>
            <w:pPr>
              <w:pStyle w:val="0"/>
            </w:pPr>
            <w:r>
              <w:rPr>
                <w:sz w:val="20"/>
              </w:rPr>
              <w:t xml:space="preserve">10</w:t>
            </w:r>
          </w:p>
        </w:tc>
        <w:tc>
          <w:tcPr>
            <w:tcW w:w="2608" w:type="dxa"/>
          </w:tcPr>
          <w:p>
            <w:pPr>
              <w:pStyle w:val="0"/>
            </w:pPr>
            <w:r>
              <w:rPr>
                <w:sz w:val="20"/>
              </w:rPr>
              <w:t xml:space="preserve">Организация и проведение научной конференции, посвященной юбилею Г.С. Райшева, "Райшевские чтения"</w:t>
            </w:r>
          </w:p>
        </w:tc>
        <w:tc>
          <w:tcPr>
            <w:tcW w:w="1480" w:type="dxa"/>
          </w:tcPr>
          <w:p>
            <w:pPr>
              <w:pStyle w:val="0"/>
            </w:pPr>
            <w:r>
              <w:rPr>
                <w:sz w:val="20"/>
              </w:rPr>
              <w:t xml:space="preserve">до 1 декабря 2024 года</w:t>
            </w:r>
          </w:p>
        </w:tc>
        <w:tc>
          <w:tcPr>
            <w:tcW w:w="2064" w:type="dxa"/>
          </w:tcPr>
          <w:p>
            <w:pPr>
              <w:pStyle w:val="0"/>
            </w:pPr>
            <w:r>
              <w:rPr>
                <w:sz w:val="20"/>
              </w:rPr>
              <w:t xml:space="preserve">Депкультуры Югры, Государственный художественный музей (по согласованию)</w:t>
            </w:r>
          </w:p>
        </w:tc>
        <w:tc>
          <w:tcPr>
            <w:tcW w:w="2376" w:type="dxa"/>
          </w:tcPr>
          <w:p>
            <w:pPr>
              <w:pStyle w:val="0"/>
            </w:pPr>
            <w:r>
              <w:rPr>
                <w:sz w:val="20"/>
              </w:rPr>
              <w:t xml:space="preserve">Государственная </w:t>
            </w:r>
            <w:hyperlink w:history="0" r:id="rId336" w:tooltip="Постановление Правительства ХМАО - Югры от 05.10.2018 N 341-п (ред. от 27.12.2021) &quot;О государственной программе Ханты-Мансийского автономного округа - Югры &quot;Культурное пространство&quot; (вместе с &quot;Порядком предоставления субсидии из бюджета Ханты-Мансийского автономного округа - Югры на софинансирование строительства (реконструкции) объектов, предназначенных для размещения муниципальных учреждений культуры&quot;, &quot;Порядком предоставления субсидии из бюджета Ханты-Мансийского автономного округа - Югры на развитие сфе ------------ Утратил силу или отменен {КонсультантПлюс}">
              <w:r>
                <w:rPr>
                  <w:sz w:val="20"/>
                  <w:color w:val="0000ff"/>
                </w:rPr>
                <w:t xml:space="preserve">программа</w:t>
              </w:r>
            </w:hyperlink>
            <w:r>
              <w:rPr>
                <w:sz w:val="20"/>
              </w:rPr>
              <w:t xml:space="preserve"> автономного округа "Культурное пространство"</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877" w:name="P1877"/>
    <w:bookmarkEnd w:id="1877"/>
    <w:p>
      <w:pPr>
        <w:pStyle w:val="2"/>
        <w:jc w:val="center"/>
      </w:pPr>
      <w:r>
        <w:rPr>
          <w:sz w:val="20"/>
        </w:rPr>
        <w:t xml:space="preserve">ПЛАН</w:t>
      </w:r>
    </w:p>
    <w:p>
      <w:pPr>
        <w:pStyle w:val="2"/>
        <w:jc w:val="center"/>
      </w:pPr>
      <w:r>
        <w:rPr>
          <w:sz w:val="20"/>
        </w:rPr>
        <w:t xml:space="preserve">ОСНОВНЫХ МЕРОПРИЯТИЙ, ПОСВЯЩЕННЫХ ПРАЗДНОВАНИЮ 150-ЛЕТИЯ</w:t>
      </w:r>
    </w:p>
    <w:p>
      <w:pPr>
        <w:pStyle w:val="2"/>
        <w:jc w:val="center"/>
      </w:pPr>
      <w:r>
        <w:rPr>
          <w:sz w:val="20"/>
        </w:rPr>
        <w:t xml:space="preserve">СО ДНЯ РОЖДЕНИЯ С.В.РАХМАНИНОВА, В ХАНТЫ-МАНСИЙСКОМ</w:t>
      </w:r>
    </w:p>
    <w:p>
      <w:pPr>
        <w:pStyle w:val="2"/>
        <w:jc w:val="center"/>
      </w:pPr>
      <w:r>
        <w:rPr>
          <w:sz w:val="20"/>
        </w:rPr>
        <w:t xml:space="preserve">АВТОНОМНОМ ОКРУГЕ - ЮГРЕ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7" w:tooltip="Постановление Правительства ХМАО - Югры от 04.02.2022 N 39-п &quot;О внесении изменений в приложение 21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постановления</w:t>
              </w:r>
            </w:hyperlink>
            <w:r>
              <w:rPr>
                <w:sz w:val="20"/>
                <w:color w:val="392c69"/>
              </w:rPr>
              <w:t xml:space="preserve"> Правительства ХМАО - Югры от 04.02.2022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608"/>
        <w:gridCol w:w="1401"/>
        <w:gridCol w:w="2592"/>
        <w:gridCol w:w="1928"/>
      </w:tblGrid>
      <w:tr>
        <w:tc>
          <w:tcPr>
            <w:tcW w:w="540" w:type="dxa"/>
          </w:tcPr>
          <w:p>
            <w:pPr>
              <w:pStyle w:val="0"/>
              <w:jc w:val="center"/>
            </w:pPr>
            <w:r>
              <w:rPr>
                <w:sz w:val="20"/>
              </w:rPr>
              <w:t xml:space="preserve">N п/п</w:t>
            </w:r>
          </w:p>
        </w:tc>
        <w:tc>
          <w:tcPr>
            <w:tcW w:w="2608" w:type="dxa"/>
          </w:tcPr>
          <w:p>
            <w:pPr>
              <w:pStyle w:val="0"/>
              <w:jc w:val="center"/>
            </w:pPr>
            <w:r>
              <w:rPr>
                <w:sz w:val="20"/>
              </w:rPr>
              <w:t xml:space="preserve">Наименование мероприятия</w:t>
            </w:r>
          </w:p>
        </w:tc>
        <w:tc>
          <w:tcPr>
            <w:tcW w:w="1401" w:type="dxa"/>
          </w:tcPr>
          <w:p>
            <w:pPr>
              <w:pStyle w:val="0"/>
              <w:jc w:val="center"/>
            </w:pPr>
            <w:r>
              <w:rPr>
                <w:sz w:val="20"/>
              </w:rPr>
              <w:t xml:space="preserve">Сроки проведения</w:t>
            </w:r>
          </w:p>
        </w:tc>
        <w:tc>
          <w:tcPr>
            <w:tcW w:w="2592" w:type="dxa"/>
          </w:tcPr>
          <w:p>
            <w:pPr>
              <w:pStyle w:val="0"/>
              <w:jc w:val="center"/>
            </w:pPr>
            <w:r>
              <w:rPr>
                <w:sz w:val="20"/>
              </w:rPr>
              <w:t xml:space="preserve">Ответственные исполнители</w:t>
            </w:r>
          </w:p>
        </w:tc>
        <w:tc>
          <w:tcPr>
            <w:tcW w:w="1928" w:type="dxa"/>
          </w:tcPr>
          <w:p>
            <w:pPr>
              <w:pStyle w:val="0"/>
              <w:jc w:val="center"/>
            </w:pPr>
            <w:r>
              <w:rPr>
                <w:sz w:val="20"/>
              </w:rPr>
              <w:t xml:space="preserve">Источник финансирования</w:t>
            </w:r>
          </w:p>
        </w:tc>
      </w:tr>
      <w:tr>
        <w:tc>
          <w:tcPr>
            <w:tcW w:w="540" w:type="dxa"/>
          </w:tcPr>
          <w:p>
            <w:pPr>
              <w:pStyle w:val="0"/>
            </w:pPr>
            <w:r>
              <w:rPr>
                <w:sz w:val="20"/>
              </w:rPr>
              <w:t xml:space="preserve">1</w:t>
            </w:r>
          </w:p>
        </w:tc>
        <w:tc>
          <w:tcPr>
            <w:tcW w:w="2608" w:type="dxa"/>
          </w:tcPr>
          <w:p>
            <w:pPr>
              <w:pStyle w:val="0"/>
            </w:pPr>
            <w:r>
              <w:rPr>
                <w:sz w:val="20"/>
              </w:rPr>
              <w:t xml:space="preserve">Цикл концертов, посвященных 150-летию со дня рождения С.В.Рахманинова</w:t>
            </w:r>
          </w:p>
        </w:tc>
        <w:tc>
          <w:tcPr>
            <w:tcW w:w="1401" w:type="dxa"/>
          </w:tcPr>
          <w:p>
            <w:pPr>
              <w:pStyle w:val="0"/>
            </w:pPr>
            <w:r>
              <w:rPr>
                <w:sz w:val="20"/>
              </w:rPr>
              <w:t xml:space="preserve">до 30 июня 2023 года</w:t>
            </w:r>
          </w:p>
        </w:tc>
        <w:tc>
          <w:tcPr>
            <w:tcW w:w="2592" w:type="dxa"/>
          </w:tcPr>
          <w:p>
            <w:pPr>
              <w:pStyle w:val="0"/>
            </w:pPr>
            <w:r>
              <w:rPr>
                <w:sz w:val="20"/>
              </w:rPr>
              <w:t xml:space="preserve">городской округ Сургут, муниципальное автономное учреждение "Сургутская филармония"</w:t>
            </w:r>
          </w:p>
          <w:p>
            <w:pPr>
              <w:pStyle w:val="0"/>
            </w:pPr>
            <w:r>
              <w:rPr>
                <w:sz w:val="20"/>
              </w:rPr>
              <w:t xml:space="preserve">(по согласованию)</w:t>
            </w:r>
          </w:p>
        </w:tc>
        <w:tc>
          <w:tcPr>
            <w:tcW w:w="1928" w:type="dxa"/>
          </w:tcPr>
          <w:p>
            <w:pPr>
              <w:pStyle w:val="0"/>
            </w:pPr>
            <w:r>
              <w:rPr>
                <w:sz w:val="20"/>
              </w:rPr>
              <w:t xml:space="preserve">бюджет муниципального образования Ханты-Мансийского автономного округа - Югры (далее - автономный округ)</w:t>
            </w:r>
          </w:p>
        </w:tc>
      </w:tr>
      <w:tr>
        <w:tc>
          <w:tcPr>
            <w:tcW w:w="540" w:type="dxa"/>
          </w:tcPr>
          <w:p>
            <w:pPr>
              <w:pStyle w:val="0"/>
            </w:pPr>
            <w:r>
              <w:rPr>
                <w:sz w:val="20"/>
              </w:rPr>
              <w:t xml:space="preserve">2</w:t>
            </w:r>
          </w:p>
        </w:tc>
        <w:tc>
          <w:tcPr>
            <w:tcW w:w="2608" w:type="dxa"/>
          </w:tcPr>
          <w:p>
            <w:pPr>
              <w:pStyle w:val="0"/>
            </w:pPr>
            <w:r>
              <w:rPr>
                <w:sz w:val="20"/>
              </w:rPr>
              <w:t xml:space="preserve">Комплексный творческий проект: "Душевных струн неведомая даль" по Соглашению о взаимном сотрудничестве между муниципальным образованием Белоярский муниципальный район и г. Витебском Республики Беларусь</w:t>
            </w:r>
          </w:p>
        </w:tc>
        <w:tc>
          <w:tcPr>
            <w:tcW w:w="1401" w:type="dxa"/>
          </w:tcPr>
          <w:p>
            <w:pPr>
              <w:pStyle w:val="0"/>
            </w:pPr>
            <w:r>
              <w:rPr>
                <w:sz w:val="20"/>
              </w:rPr>
              <w:t xml:space="preserve">до 31 мая 2023 года</w:t>
            </w:r>
          </w:p>
        </w:tc>
        <w:tc>
          <w:tcPr>
            <w:tcW w:w="2592" w:type="dxa"/>
          </w:tcPr>
          <w:p>
            <w:pPr>
              <w:pStyle w:val="0"/>
            </w:pPr>
            <w:r>
              <w:rPr>
                <w:sz w:val="20"/>
              </w:rPr>
              <w:t xml:space="preserve">Белоярский муниципальный район</w:t>
            </w:r>
          </w:p>
          <w:p>
            <w:pPr>
              <w:pStyle w:val="0"/>
            </w:pPr>
            <w:r>
              <w:rPr>
                <w:sz w:val="20"/>
              </w:rPr>
              <w:t xml:space="preserve">(по согласованию)</w:t>
            </w:r>
          </w:p>
        </w:tc>
        <w:tc>
          <w:tcPr>
            <w:tcW w:w="1928" w:type="dxa"/>
          </w:tcPr>
          <w:p>
            <w:pPr>
              <w:pStyle w:val="0"/>
            </w:pPr>
            <w:r>
              <w:rPr>
                <w:sz w:val="20"/>
              </w:rPr>
              <w:t xml:space="preserve">бюджет муниципального образования автономного округа</w:t>
            </w:r>
          </w:p>
        </w:tc>
      </w:tr>
      <w:tr>
        <w:tc>
          <w:tcPr>
            <w:tcW w:w="540" w:type="dxa"/>
          </w:tcPr>
          <w:p>
            <w:pPr>
              <w:pStyle w:val="0"/>
            </w:pPr>
            <w:r>
              <w:rPr>
                <w:sz w:val="20"/>
              </w:rPr>
              <w:t xml:space="preserve">3</w:t>
            </w:r>
          </w:p>
        </w:tc>
        <w:tc>
          <w:tcPr>
            <w:tcW w:w="2608" w:type="dxa"/>
          </w:tcPr>
          <w:p>
            <w:pPr>
              <w:pStyle w:val="0"/>
            </w:pPr>
            <w:r>
              <w:rPr>
                <w:sz w:val="20"/>
              </w:rPr>
              <w:t xml:space="preserve">Литературно-музыкальная гостиная "Сергей Рахманинов - великий русский композитор", концерты обучающихся детских школ искусств, посвященные творчеству великого русского композитора</w:t>
            </w:r>
          </w:p>
        </w:tc>
        <w:tc>
          <w:tcPr>
            <w:tcW w:w="1401" w:type="dxa"/>
          </w:tcPr>
          <w:p>
            <w:pPr>
              <w:pStyle w:val="0"/>
            </w:pPr>
            <w:r>
              <w:rPr>
                <w:sz w:val="20"/>
              </w:rPr>
              <w:t xml:space="preserve">до 31 мая 2023 года</w:t>
            </w:r>
          </w:p>
        </w:tc>
        <w:tc>
          <w:tcPr>
            <w:tcW w:w="2592" w:type="dxa"/>
          </w:tcPr>
          <w:p>
            <w:pPr>
              <w:pStyle w:val="0"/>
            </w:pPr>
            <w:r>
              <w:rPr>
                <w:sz w:val="20"/>
              </w:rPr>
              <w:t xml:space="preserve">муниципальные образования автономного округа (по согласованию)</w:t>
            </w:r>
          </w:p>
        </w:tc>
        <w:tc>
          <w:tcPr>
            <w:tcW w:w="1928" w:type="dxa"/>
          </w:tcPr>
          <w:p>
            <w:pPr>
              <w:pStyle w:val="0"/>
            </w:pPr>
            <w:r>
              <w:rPr>
                <w:sz w:val="20"/>
              </w:rPr>
              <w:t xml:space="preserve">бюджеты муниципальных образований автономного округа</w:t>
            </w:r>
          </w:p>
        </w:tc>
      </w:tr>
      <w:tr>
        <w:tc>
          <w:tcPr>
            <w:tcW w:w="540" w:type="dxa"/>
          </w:tcPr>
          <w:p>
            <w:pPr>
              <w:pStyle w:val="0"/>
            </w:pPr>
            <w:r>
              <w:rPr>
                <w:sz w:val="20"/>
              </w:rPr>
              <w:t xml:space="preserve">4</w:t>
            </w:r>
          </w:p>
        </w:tc>
        <w:tc>
          <w:tcPr>
            <w:tcW w:w="2608" w:type="dxa"/>
          </w:tcPr>
          <w:p>
            <w:pPr>
              <w:pStyle w:val="0"/>
            </w:pPr>
            <w:r>
              <w:rPr>
                <w:sz w:val="20"/>
              </w:rPr>
              <w:t xml:space="preserve">Концерт-лекция в рамках филармонического проекта "Школа музыки"</w:t>
            </w:r>
          </w:p>
        </w:tc>
        <w:tc>
          <w:tcPr>
            <w:tcW w:w="1401" w:type="dxa"/>
          </w:tcPr>
          <w:p>
            <w:pPr>
              <w:pStyle w:val="0"/>
            </w:pPr>
            <w:r>
              <w:rPr>
                <w:sz w:val="20"/>
              </w:rPr>
              <w:t xml:space="preserve">до 31 мая 2023 года</w:t>
            </w:r>
          </w:p>
        </w:tc>
        <w:tc>
          <w:tcPr>
            <w:tcW w:w="2592" w:type="dxa"/>
          </w:tcPr>
          <w:p>
            <w:pPr>
              <w:pStyle w:val="0"/>
            </w:pPr>
            <w:r>
              <w:rPr>
                <w:sz w:val="20"/>
              </w:rPr>
              <w:t xml:space="preserve">Департамент культуры автономного округа, бюджетное профессиональное образовательное учреждение автономного округа "Сургутский музыкальный колледж" (по согласованию)</w:t>
            </w:r>
          </w:p>
        </w:tc>
        <w:tc>
          <w:tcPr>
            <w:tcW w:w="1928" w:type="dxa"/>
          </w:tcPr>
          <w:p>
            <w:pPr>
              <w:pStyle w:val="0"/>
            </w:pPr>
            <w:r>
              <w:rPr>
                <w:sz w:val="20"/>
              </w:rPr>
              <w:t xml:space="preserve">Государственная программа автономного округа "Культурное пространство"</w:t>
            </w:r>
          </w:p>
        </w:tc>
      </w:tr>
      <w:tr>
        <w:tc>
          <w:tcPr>
            <w:tcW w:w="540" w:type="dxa"/>
          </w:tcPr>
          <w:p>
            <w:pPr>
              <w:pStyle w:val="0"/>
            </w:pPr>
            <w:r>
              <w:rPr>
                <w:sz w:val="20"/>
              </w:rPr>
              <w:t xml:space="preserve">5</w:t>
            </w:r>
          </w:p>
        </w:tc>
        <w:tc>
          <w:tcPr>
            <w:tcW w:w="2608" w:type="dxa"/>
          </w:tcPr>
          <w:p>
            <w:pPr>
              <w:pStyle w:val="0"/>
            </w:pPr>
            <w:r>
              <w:rPr>
                <w:sz w:val="20"/>
              </w:rPr>
              <w:t xml:space="preserve">Концерт, посвященный 150-летию со дня рождения С.В.Рахманинова</w:t>
            </w:r>
          </w:p>
        </w:tc>
        <w:tc>
          <w:tcPr>
            <w:tcW w:w="1401" w:type="dxa"/>
          </w:tcPr>
          <w:p>
            <w:pPr>
              <w:pStyle w:val="0"/>
            </w:pPr>
            <w:r>
              <w:rPr>
                <w:sz w:val="20"/>
              </w:rPr>
              <w:t xml:space="preserve">до 31 мая 2023 года</w:t>
            </w:r>
          </w:p>
        </w:tc>
        <w:tc>
          <w:tcPr>
            <w:tcW w:w="2592" w:type="dxa"/>
          </w:tcPr>
          <w:p>
            <w:pPr>
              <w:pStyle w:val="0"/>
            </w:pPr>
            <w:r>
              <w:rPr>
                <w:sz w:val="20"/>
              </w:rPr>
              <w:t xml:space="preserve">Департамент культуры автономного округа, бюджетное профессиональное образовательное учреждение автономного округа "Сургутский музыкальный колледж" (по согласованию), бюджетное профессиональное образовательное учреждение автономного округа "Сургутский колледж русской культуры им. А.С.Знаменского" (по согласованию)</w:t>
            </w:r>
          </w:p>
        </w:tc>
        <w:tc>
          <w:tcPr>
            <w:tcW w:w="1928" w:type="dxa"/>
          </w:tcPr>
          <w:p>
            <w:pPr>
              <w:pStyle w:val="0"/>
            </w:pPr>
            <w:r>
              <w:rPr>
                <w:sz w:val="20"/>
              </w:rPr>
              <w:t xml:space="preserve">Государственная программа автономного округа "Культурное пространство"</w:t>
            </w:r>
          </w:p>
        </w:tc>
      </w:tr>
      <w:tr>
        <w:tc>
          <w:tcPr>
            <w:tcW w:w="540" w:type="dxa"/>
          </w:tcPr>
          <w:p>
            <w:pPr>
              <w:pStyle w:val="0"/>
            </w:pPr>
            <w:r>
              <w:rPr>
                <w:sz w:val="20"/>
              </w:rPr>
              <w:t xml:space="preserve">6</w:t>
            </w:r>
          </w:p>
        </w:tc>
        <w:tc>
          <w:tcPr>
            <w:tcW w:w="2608" w:type="dxa"/>
          </w:tcPr>
          <w:p>
            <w:pPr>
              <w:pStyle w:val="0"/>
            </w:pPr>
            <w:r>
              <w:rPr>
                <w:sz w:val="20"/>
              </w:rPr>
              <w:t xml:space="preserve">Окружной конкурс по музыкально-теоретическим дисциплинам, посвященный 150-летию со дня рождения С.В.Рахманинова</w:t>
            </w:r>
          </w:p>
        </w:tc>
        <w:tc>
          <w:tcPr>
            <w:tcW w:w="1401" w:type="dxa"/>
          </w:tcPr>
          <w:p>
            <w:pPr>
              <w:pStyle w:val="0"/>
            </w:pPr>
            <w:r>
              <w:rPr>
                <w:sz w:val="20"/>
              </w:rPr>
              <w:t xml:space="preserve">до 31 мая 2023 года</w:t>
            </w:r>
          </w:p>
        </w:tc>
        <w:tc>
          <w:tcPr>
            <w:tcW w:w="2592" w:type="dxa"/>
          </w:tcPr>
          <w:p>
            <w:pPr>
              <w:pStyle w:val="0"/>
            </w:pPr>
            <w:r>
              <w:rPr>
                <w:sz w:val="20"/>
              </w:rPr>
              <w:t xml:space="preserve">Департамент культуры автономного округа, бюджетное профессиональное образовательное учреждение Ханты-Мансийского автономного округа - Югры "Сургутский музыкальный колледж" (по согласованию)</w:t>
            </w:r>
          </w:p>
        </w:tc>
        <w:tc>
          <w:tcPr>
            <w:tcW w:w="1928" w:type="dxa"/>
          </w:tcPr>
          <w:p>
            <w:pPr>
              <w:pStyle w:val="0"/>
            </w:pPr>
            <w:r>
              <w:rPr>
                <w:sz w:val="20"/>
              </w:rPr>
              <w:t xml:space="preserve">Государственная программа автономного округа "Культурное пространство"</w:t>
            </w:r>
          </w:p>
        </w:tc>
      </w:tr>
      <w:tr>
        <w:tc>
          <w:tcPr>
            <w:tcW w:w="540" w:type="dxa"/>
          </w:tcPr>
          <w:p>
            <w:pPr>
              <w:pStyle w:val="0"/>
            </w:pPr>
            <w:r>
              <w:rPr>
                <w:sz w:val="20"/>
              </w:rPr>
              <w:t xml:space="preserve">7</w:t>
            </w:r>
          </w:p>
        </w:tc>
        <w:tc>
          <w:tcPr>
            <w:tcW w:w="2608" w:type="dxa"/>
          </w:tcPr>
          <w:p>
            <w:pPr>
              <w:pStyle w:val="0"/>
            </w:pPr>
            <w:r>
              <w:rPr>
                <w:sz w:val="20"/>
              </w:rPr>
              <w:t xml:space="preserve">Неделя С.В.Рахманинова в Ханты-Мансийском автономном округе - Югре</w:t>
            </w:r>
          </w:p>
        </w:tc>
        <w:tc>
          <w:tcPr>
            <w:tcW w:w="1401" w:type="dxa"/>
          </w:tcPr>
          <w:p>
            <w:pPr>
              <w:pStyle w:val="0"/>
            </w:pPr>
            <w:r>
              <w:rPr>
                <w:sz w:val="20"/>
              </w:rPr>
              <w:t xml:space="preserve">с 25 марта по 1 апреля 2023 года</w:t>
            </w:r>
          </w:p>
        </w:tc>
        <w:tc>
          <w:tcPr>
            <w:tcW w:w="2592" w:type="dxa"/>
          </w:tcPr>
          <w:p>
            <w:pPr>
              <w:pStyle w:val="0"/>
            </w:pPr>
            <w:r>
              <w:rPr>
                <w:sz w:val="20"/>
              </w:rPr>
              <w:t xml:space="preserve">Департамент культуры автономного округа, государственные учреждения культуры, подведомственные Департаменту культуры автономного округа (по согласованию)</w:t>
            </w:r>
          </w:p>
        </w:tc>
        <w:tc>
          <w:tcPr>
            <w:tcW w:w="1928" w:type="dxa"/>
          </w:tcPr>
          <w:p>
            <w:pPr>
              <w:pStyle w:val="0"/>
            </w:pPr>
            <w:r>
              <w:rPr>
                <w:sz w:val="20"/>
              </w:rPr>
              <w:t xml:space="preserve">Государственная программа автономного округа "Культурное пространство"</w:t>
            </w:r>
          </w:p>
        </w:tc>
      </w:tr>
      <w:tr>
        <w:tc>
          <w:tcPr>
            <w:tcW w:w="540" w:type="dxa"/>
          </w:tcPr>
          <w:p>
            <w:pPr>
              <w:pStyle w:val="0"/>
            </w:pPr>
            <w:r>
              <w:rPr>
                <w:sz w:val="20"/>
              </w:rPr>
              <w:t xml:space="preserve">8</w:t>
            </w:r>
          </w:p>
        </w:tc>
        <w:tc>
          <w:tcPr>
            <w:tcW w:w="2608" w:type="dxa"/>
          </w:tcPr>
          <w:p>
            <w:pPr>
              <w:pStyle w:val="0"/>
            </w:pPr>
            <w:r>
              <w:rPr>
                <w:sz w:val="20"/>
              </w:rPr>
              <w:t xml:space="preserve">Культурно-просветительские мероприятия, посвященные музыкальному наследию С.В.Рахманинова, направленные на музыкальное образование и эстетическое развитие обучающихся</w:t>
            </w:r>
          </w:p>
        </w:tc>
        <w:tc>
          <w:tcPr>
            <w:tcW w:w="1401" w:type="dxa"/>
          </w:tcPr>
          <w:p>
            <w:pPr>
              <w:pStyle w:val="0"/>
            </w:pPr>
            <w:r>
              <w:rPr>
                <w:sz w:val="20"/>
              </w:rPr>
              <w:t xml:space="preserve">с 1 января 2022 года по 31 декабря 2023 года</w:t>
            </w:r>
          </w:p>
        </w:tc>
        <w:tc>
          <w:tcPr>
            <w:tcW w:w="2592" w:type="dxa"/>
          </w:tcPr>
          <w:p>
            <w:pPr>
              <w:pStyle w:val="0"/>
            </w:pPr>
            <w:r>
              <w:rPr>
                <w:sz w:val="20"/>
              </w:rPr>
              <w:t xml:space="preserve">муниципальные образования автономного округа</w:t>
            </w:r>
          </w:p>
          <w:p>
            <w:pPr>
              <w:pStyle w:val="0"/>
            </w:pPr>
            <w:r>
              <w:rPr>
                <w:sz w:val="20"/>
              </w:rPr>
              <w:t xml:space="preserve">(по согласованию)</w:t>
            </w:r>
          </w:p>
        </w:tc>
        <w:tc>
          <w:tcPr>
            <w:tcW w:w="1928" w:type="dxa"/>
          </w:tcPr>
          <w:p>
            <w:pPr>
              <w:pStyle w:val="0"/>
            </w:pPr>
            <w:r>
              <w:rPr>
                <w:sz w:val="20"/>
              </w:rPr>
              <w:t xml:space="preserve">бюджеты муниципальных образований автономного округа</w:t>
            </w:r>
          </w:p>
        </w:tc>
      </w:tr>
      <w:tr>
        <w:tblPrEx>
          <w:tblBorders>
            <w:insideH w:val="nil"/>
          </w:tblBorders>
        </w:tblPrEx>
        <w:tc>
          <w:tcPr>
            <w:tcW w:w="540" w:type="dxa"/>
            <w:tcBorders>
              <w:bottom w:val="nil"/>
            </w:tcBorders>
          </w:tcPr>
          <w:p>
            <w:pPr>
              <w:pStyle w:val="0"/>
            </w:pPr>
            <w:r>
              <w:rPr>
                <w:sz w:val="20"/>
              </w:rPr>
              <w:t xml:space="preserve">9</w:t>
            </w:r>
          </w:p>
        </w:tc>
        <w:tc>
          <w:tcPr>
            <w:tcW w:w="2608" w:type="dxa"/>
            <w:tcBorders>
              <w:bottom w:val="nil"/>
            </w:tcBorders>
          </w:tcPr>
          <w:p>
            <w:pPr>
              <w:pStyle w:val="0"/>
            </w:pPr>
            <w:r>
              <w:rPr>
                <w:sz w:val="20"/>
              </w:rPr>
              <w:t xml:space="preserve">Единый день Рахманинова в России: концерты, тематические экскурсии, лекции в музыкальных школах. Воспроизведение музыки Рахманинова в общественных местах - транспорте, торговых центрах, расположенных на территории муниципальных образований автономного округа</w:t>
            </w:r>
          </w:p>
        </w:tc>
        <w:tc>
          <w:tcPr>
            <w:tcW w:w="1401" w:type="dxa"/>
            <w:tcBorders>
              <w:bottom w:val="nil"/>
            </w:tcBorders>
          </w:tcPr>
          <w:p>
            <w:pPr>
              <w:pStyle w:val="0"/>
            </w:pPr>
            <w:r>
              <w:rPr>
                <w:sz w:val="20"/>
              </w:rPr>
              <w:t xml:space="preserve">1 апреля 2023 года</w:t>
            </w:r>
          </w:p>
        </w:tc>
        <w:tc>
          <w:tcPr>
            <w:tcW w:w="2592" w:type="dxa"/>
            <w:tcBorders>
              <w:bottom w:val="nil"/>
            </w:tcBorders>
          </w:tcPr>
          <w:p>
            <w:pPr>
              <w:pStyle w:val="0"/>
            </w:pPr>
            <w:r>
              <w:rPr>
                <w:sz w:val="20"/>
              </w:rPr>
              <w:t xml:space="preserve">Департамент культуры автономного округа, государственные учреждения культуры, подведомственные Департаменту культуры автономного округа (по согласованию), муниципальные образования автономного округа (по согласованию)</w:t>
            </w:r>
          </w:p>
        </w:tc>
        <w:tc>
          <w:tcPr>
            <w:tcW w:w="1928" w:type="dxa"/>
            <w:tcBorders>
              <w:bottom w:val="nil"/>
            </w:tcBorders>
          </w:tcPr>
          <w:p>
            <w:pPr>
              <w:pStyle w:val="0"/>
            </w:pPr>
            <w:r>
              <w:rPr>
                <w:sz w:val="20"/>
              </w:rPr>
              <w:t xml:space="preserve">государственная программа автономного округа "Культурное пространство",</w:t>
            </w:r>
          </w:p>
          <w:p>
            <w:pPr>
              <w:pStyle w:val="0"/>
            </w:pPr>
            <w:r>
              <w:rPr>
                <w:sz w:val="20"/>
              </w:rPr>
              <w:t xml:space="preserve">бюджеты муниципальных образований автономного округа</w:t>
            </w:r>
          </w:p>
        </w:tc>
      </w:tr>
      <w:tr>
        <w:tblPrEx>
          <w:tblBorders>
            <w:insideH w:val="nil"/>
          </w:tblBorders>
        </w:tblPrEx>
        <w:tc>
          <w:tcPr>
            <w:gridSpan w:val="5"/>
            <w:tcW w:w="9069" w:type="dxa"/>
            <w:tcBorders>
              <w:top w:val="nil"/>
            </w:tcBorders>
          </w:tcPr>
          <w:p>
            <w:pPr>
              <w:pStyle w:val="0"/>
              <w:jc w:val="both"/>
            </w:pPr>
            <w:r>
              <w:rPr>
                <w:sz w:val="20"/>
              </w:rPr>
              <w:t xml:space="preserve">(п. 9 введен </w:t>
            </w:r>
            <w:hyperlink w:history="0" r:id="rId338" w:tooltip="Постановление Правительства ХМАО - Югры от 04.02.2022 N 39-п &quot;О внесении изменений в приложение 21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04.02.2022 N 39-п)</w:t>
            </w:r>
          </w:p>
        </w:tc>
      </w:tr>
      <w:tr>
        <w:tblPrEx>
          <w:tblBorders>
            <w:insideH w:val="nil"/>
          </w:tblBorders>
        </w:tblPrEx>
        <w:tc>
          <w:tcPr>
            <w:tcW w:w="540" w:type="dxa"/>
            <w:tcBorders>
              <w:bottom w:val="nil"/>
            </w:tcBorders>
          </w:tcPr>
          <w:p>
            <w:pPr>
              <w:pStyle w:val="0"/>
            </w:pPr>
            <w:r>
              <w:rPr>
                <w:sz w:val="20"/>
              </w:rPr>
              <w:t xml:space="preserve">10</w:t>
            </w:r>
          </w:p>
        </w:tc>
        <w:tc>
          <w:tcPr>
            <w:tcW w:w="2608" w:type="dxa"/>
            <w:tcBorders>
              <w:bottom w:val="nil"/>
            </w:tcBorders>
          </w:tcPr>
          <w:p>
            <w:pPr>
              <w:pStyle w:val="0"/>
            </w:pPr>
            <w:r>
              <w:rPr>
                <w:sz w:val="20"/>
              </w:rPr>
              <w:t xml:space="preserve">Проведение информационной и социальной рекламы, посвященной 150-летию со дня рождения С.В.Рахманинова</w:t>
            </w:r>
          </w:p>
        </w:tc>
        <w:tc>
          <w:tcPr>
            <w:tcW w:w="1401" w:type="dxa"/>
            <w:tcBorders>
              <w:bottom w:val="nil"/>
            </w:tcBorders>
          </w:tcPr>
          <w:p>
            <w:pPr>
              <w:pStyle w:val="0"/>
            </w:pPr>
            <w:r>
              <w:rPr>
                <w:sz w:val="20"/>
              </w:rPr>
              <w:t xml:space="preserve">до 15 апреля 2023 года</w:t>
            </w:r>
          </w:p>
        </w:tc>
        <w:tc>
          <w:tcPr>
            <w:tcW w:w="2592" w:type="dxa"/>
            <w:tcBorders>
              <w:bottom w:val="nil"/>
            </w:tcBorders>
          </w:tcPr>
          <w:p>
            <w:pPr>
              <w:pStyle w:val="0"/>
            </w:pPr>
            <w:r>
              <w:rPr>
                <w:sz w:val="20"/>
              </w:rPr>
              <w:t xml:space="preserve">Департамент культуры автономного округа, государственные учреждения культуры, подведомственные Департаменту культуры автономного округа (по согласованию), муниципальные образования автономного округа (по согласованию)</w:t>
            </w:r>
          </w:p>
        </w:tc>
        <w:tc>
          <w:tcPr>
            <w:tcW w:w="1928" w:type="dxa"/>
            <w:tcBorders>
              <w:bottom w:val="nil"/>
            </w:tcBorders>
          </w:tcPr>
          <w:p>
            <w:pPr>
              <w:pStyle w:val="0"/>
            </w:pPr>
            <w:r>
              <w:rPr>
                <w:sz w:val="20"/>
              </w:rPr>
              <w:t xml:space="preserve">государственная программа автономного округа "Культурное пространство", бюджеты муниципальных образований автономного округа</w:t>
            </w:r>
          </w:p>
        </w:tc>
      </w:tr>
      <w:tr>
        <w:tblPrEx>
          <w:tblBorders>
            <w:insideH w:val="nil"/>
          </w:tblBorders>
        </w:tblPrEx>
        <w:tc>
          <w:tcPr>
            <w:gridSpan w:val="5"/>
            <w:tcW w:w="9069" w:type="dxa"/>
            <w:tcBorders>
              <w:top w:val="nil"/>
            </w:tcBorders>
          </w:tcPr>
          <w:p>
            <w:pPr>
              <w:pStyle w:val="0"/>
              <w:jc w:val="both"/>
            </w:pPr>
            <w:r>
              <w:rPr>
                <w:sz w:val="20"/>
              </w:rPr>
              <w:t xml:space="preserve">(п. 10 введен </w:t>
            </w:r>
            <w:hyperlink w:history="0" r:id="rId339" w:tooltip="Постановление Правительства ХМАО - Югры от 04.02.2022 N 39-п &quot;О внесении изменений в приложение 21 к постановлению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rPr>
              <w:t xml:space="preserve"> Правительства ХМАО - Югры от 04.02.2022 N 39-п)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pPr>
      <w:r>
        <w:rPr>
          <w:sz w:val="20"/>
        </w:rPr>
      </w:r>
    </w:p>
    <w:bookmarkStart w:id="1956" w:name="P1956"/>
    <w:bookmarkEnd w:id="1956"/>
    <w:p>
      <w:pPr>
        <w:pStyle w:val="2"/>
        <w:jc w:val="center"/>
      </w:pPr>
      <w:r>
        <w:rPr>
          <w:sz w:val="20"/>
        </w:rPr>
        <w:t xml:space="preserve">ПЕРЕЧЕНЬ</w:t>
      </w:r>
    </w:p>
    <w:p>
      <w:pPr>
        <w:pStyle w:val="2"/>
        <w:jc w:val="center"/>
      </w:pPr>
      <w:r>
        <w:rPr>
          <w:sz w:val="20"/>
        </w:rPr>
        <w:t xml:space="preserve">ПАМЯТНИКОВ АРХИТЕКТУРЫ И ГРАДОСТРОИТЕЛЬСТВА, РАСПОЛОЖЕННЫХ</w:t>
      </w:r>
    </w:p>
    <w:p>
      <w:pPr>
        <w:pStyle w:val="2"/>
        <w:jc w:val="center"/>
      </w:pPr>
      <w:r>
        <w:rPr>
          <w:sz w:val="20"/>
        </w:rPr>
        <w:t xml:space="preserve">В ХАНТЫ-МАНСИЙСКОМ АВТОНОМНОМ ОКРУГЕ - ЮГРЕ, ТРЕБУЮЩИХ</w:t>
      </w:r>
    </w:p>
    <w:p>
      <w:pPr>
        <w:pStyle w:val="2"/>
        <w:jc w:val="center"/>
      </w:pPr>
      <w:r>
        <w:rPr>
          <w:sz w:val="20"/>
        </w:rPr>
        <w:t xml:space="preserve">ПРОВЕДЕНИЯ РЕМОНТНО-РЕСТАВРАЦИОННЫХ РАБОТ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2268"/>
        <w:gridCol w:w="1701"/>
        <w:gridCol w:w="2154"/>
      </w:tblGrid>
      <w:tr>
        <w:tc>
          <w:tcPr>
            <w:tcW w:w="567" w:type="dxa"/>
          </w:tcPr>
          <w:p>
            <w:pPr>
              <w:pStyle w:val="0"/>
              <w:jc w:val="center"/>
            </w:pPr>
            <w:r>
              <w:rPr>
                <w:sz w:val="20"/>
              </w:rPr>
              <w:t xml:space="preserve">N п/п</w:t>
            </w:r>
          </w:p>
        </w:tc>
        <w:tc>
          <w:tcPr>
            <w:tcW w:w="2381" w:type="dxa"/>
          </w:tcPr>
          <w:p>
            <w:pPr>
              <w:pStyle w:val="0"/>
              <w:jc w:val="center"/>
            </w:pPr>
            <w:r>
              <w:rPr>
                <w:sz w:val="20"/>
              </w:rPr>
              <w:t xml:space="preserve">Собственник объекта</w:t>
            </w:r>
          </w:p>
        </w:tc>
        <w:tc>
          <w:tcPr>
            <w:tcW w:w="2268" w:type="dxa"/>
          </w:tcPr>
          <w:p>
            <w:pPr>
              <w:pStyle w:val="0"/>
              <w:jc w:val="center"/>
            </w:pPr>
            <w:r>
              <w:rPr>
                <w:sz w:val="20"/>
              </w:rPr>
              <w:t xml:space="preserve">Наименование объекта</w:t>
            </w:r>
          </w:p>
        </w:tc>
        <w:tc>
          <w:tcPr>
            <w:tcW w:w="1701" w:type="dxa"/>
          </w:tcPr>
          <w:p>
            <w:pPr>
              <w:pStyle w:val="0"/>
              <w:jc w:val="center"/>
            </w:pPr>
            <w:r>
              <w:rPr>
                <w:sz w:val="20"/>
              </w:rPr>
              <w:t xml:space="preserve">Срок строительно-реставрационных работ (проектирования)</w:t>
            </w:r>
          </w:p>
        </w:tc>
        <w:tc>
          <w:tcPr>
            <w:tcW w:w="2154" w:type="dxa"/>
          </w:tcPr>
          <w:p>
            <w:pPr>
              <w:pStyle w:val="0"/>
              <w:jc w:val="center"/>
            </w:pPr>
            <w:r>
              <w:rPr>
                <w:sz w:val="20"/>
              </w:rPr>
              <w:t xml:space="preserve">Источник финансирования</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2268" w:type="dxa"/>
          </w:tcPr>
          <w:p>
            <w:pPr>
              <w:pStyle w:val="0"/>
              <w:jc w:val="center"/>
            </w:pPr>
            <w:r>
              <w:rPr>
                <w:sz w:val="20"/>
              </w:rPr>
              <w:t xml:space="preserve">3</w:t>
            </w:r>
          </w:p>
        </w:tc>
        <w:tc>
          <w:tcPr>
            <w:tcW w:w="1701" w:type="dxa"/>
          </w:tcPr>
          <w:p>
            <w:pPr>
              <w:pStyle w:val="0"/>
              <w:jc w:val="center"/>
            </w:pPr>
            <w:r>
              <w:rPr>
                <w:sz w:val="20"/>
              </w:rPr>
              <w:t xml:space="preserve">4</w:t>
            </w:r>
          </w:p>
        </w:tc>
        <w:tc>
          <w:tcPr>
            <w:tcW w:w="2154" w:type="dxa"/>
          </w:tcPr>
          <w:p>
            <w:pPr>
              <w:pStyle w:val="0"/>
              <w:jc w:val="center"/>
            </w:pPr>
            <w:r>
              <w:rPr>
                <w:sz w:val="20"/>
              </w:rPr>
              <w:t xml:space="preserve">5</w:t>
            </w:r>
          </w:p>
        </w:tc>
      </w:tr>
      <w:tr>
        <w:tc>
          <w:tcPr>
            <w:tcW w:w="567" w:type="dxa"/>
          </w:tcPr>
          <w:p>
            <w:pPr>
              <w:pStyle w:val="0"/>
            </w:pPr>
            <w:r>
              <w:rPr>
                <w:sz w:val="20"/>
              </w:rPr>
              <w:t xml:space="preserve">1.</w:t>
            </w:r>
          </w:p>
        </w:tc>
        <w:tc>
          <w:tcPr>
            <w:tcW w:w="2381" w:type="dxa"/>
          </w:tcPr>
          <w:p>
            <w:pPr>
              <w:pStyle w:val="0"/>
            </w:pPr>
            <w:r>
              <w:rPr>
                <w:sz w:val="20"/>
              </w:rPr>
              <w:t xml:space="preserve">Бюджетное учреждение Ханты-Мансийского автономного округа - Югры (далее - автономный округ) "Музей Природы и Человека"</w:t>
            </w:r>
          </w:p>
        </w:tc>
        <w:tc>
          <w:tcPr>
            <w:tcW w:w="2268" w:type="dxa"/>
          </w:tcPr>
          <w:p>
            <w:pPr>
              <w:pStyle w:val="0"/>
            </w:pPr>
            <w:r>
              <w:rPr>
                <w:sz w:val="20"/>
              </w:rPr>
              <w:t xml:space="preserve">Амбар усадьбы Е.И. Рязанцева</w:t>
            </w:r>
          </w:p>
        </w:tc>
        <w:tc>
          <w:tcPr>
            <w:tcW w:w="1701" w:type="dxa"/>
          </w:tcPr>
          <w:p>
            <w:pPr>
              <w:pStyle w:val="0"/>
            </w:pPr>
            <w:r>
              <w:rPr>
                <w:sz w:val="20"/>
              </w:rPr>
              <w:t xml:space="preserve">2022 - 2024 годы</w:t>
            </w:r>
          </w:p>
        </w:tc>
        <w:tc>
          <w:tcPr>
            <w:tcW w:w="2154" w:type="dxa"/>
          </w:tcPr>
          <w:p>
            <w:pPr>
              <w:pStyle w:val="0"/>
            </w:pPr>
            <w:r>
              <w:rPr>
                <w:sz w:val="20"/>
              </w:rPr>
              <w:t xml:space="preserve">бюджет автономного округа</w:t>
            </w:r>
          </w:p>
        </w:tc>
      </w:tr>
      <w:tr>
        <w:tc>
          <w:tcPr>
            <w:tcW w:w="567" w:type="dxa"/>
          </w:tcPr>
          <w:p>
            <w:pPr>
              <w:pStyle w:val="0"/>
            </w:pPr>
            <w:r>
              <w:rPr>
                <w:sz w:val="20"/>
              </w:rPr>
              <w:t xml:space="preserve">2.</w:t>
            </w:r>
          </w:p>
        </w:tc>
        <w:tc>
          <w:tcPr>
            <w:tcW w:w="2381" w:type="dxa"/>
          </w:tcPr>
          <w:p>
            <w:pPr>
              <w:pStyle w:val="0"/>
            </w:pPr>
            <w:r>
              <w:rPr>
                <w:sz w:val="20"/>
              </w:rPr>
              <w:t xml:space="preserve">Бюджетное учреждение автономного округа "Музей Природы и Человека"</w:t>
            </w:r>
          </w:p>
        </w:tc>
        <w:tc>
          <w:tcPr>
            <w:tcW w:w="2268" w:type="dxa"/>
          </w:tcPr>
          <w:p>
            <w:pPr>
              <w:pStyle w:val="0"/>
            </w:pPr>
            <w:r>
              <w:rPr>
                <w:sz w:val="20"/>
              </w:rPr>
              <w:t xml:space="preserve">Ансамбль Никольской часовни, в составе: здание Никольской часовни, могильник Никольский</w:t>
            </w:r>
          </w:p>
        </w:tc>
        <w:tc>
          <w:tcPr>
            <w:tcW w:w="1701" w:type="dxa"/>
          </w:tcPr>
          <w:p>
            <w:pPr>
              <w:pStyle w:val="0"/>
            </w:pPr>
            <w:r>
              <w:rPr>
                <w:sz w:val="20"/>
              </w:rPr>
              <w:t xml:space="preserve">2022 - 2024 годы</w:t>
            </w:r>
          </w:p>
        </w:tc>
        <w:tc>
          <w:tcPr>
            <w:tcW w:w="2154" w:type="dxa"/>
          </w:tcPr>
          <w:p>
            <w:pPr>
              <w:pStyle w:val="0"/>
            </w:pPr>
            <w:r>
              <w:rPr>
                <w:sz w:val="20"/>
              </w:rPr>
              <w:t xml:space="preserve">бюджет автономного округа</w:t>
            </w:r>
          </w:p>
        </w:tc>
      </w:tr>
      <w:tr>
        <w:tc>
          <w:tcPr>
            <w:tcW w:w="567" w:type="dxa"/>
          </w:tcPr>
          <w:p>
            <w:pPr>
              <w:pStyle w:val="0"/>
            </w:pPr>
            <w:r>
              <w:rPr>
                <w:sz w:val="20"/>
              </w:rPr>
              <w:t xml:space="preserve">3.</w:t>
            </w:r>
          </w:p>
        </w:tc>
        <w:tc>
          <w:tcPr>
            <w:tcW w:w="2381" w:type="dxa"/>
          </w:tcPr>
          <w:p>
            <w:pPr>
              <w:pStyle w:val="0"/>
            </w:pPr>
            <w:r>
              <w:rPr>
                <w:sz w:val="20"/>
              </w:rPr>
              <w:t xml:space="preserve">Октябрьский район</w:t>
            </w:r>
          </w:p>
        </w:tc>
        <w:tc>
          <w:tcPr>
            <w:tcW w:w="2268" w:type="dxa"/>
          </w:tcPr>
          <w:p>
            <w:pPr>
              <w:pStyle w:val="0"/>
            </w:pPr>
            <w:r>
              <w:rPr>
                <w:sz w:val="20"/>
              </w:rPr>
              <w:t xml:space="preserve">Дом рыбопромышленника Горкушенко</w:t>
            </w:r>
          </w:p>
        </w:tc>
        <w:tc>
          <w:tcPr>
            <w:tcW w:w="1701" w:type="dxa"/>
          </w:tcPr>
          <w:p>
            <w:pPr>
              <w:pStyle w:val="0"/>
            </w:pPr>
            <w:r>
              <w:rPr>
                <w:sz w:val="20"/>
              </w:rPr>
              <w:t xml:space="preserve">2022 - 2024 годы</w:t>
            </w:r>
          </w:p>
        </w:tc>
        <w:tc>
          <w:tcPr>
            <w:tcW w:w="2154" w:type="dxa"/>
          </w:tcPr>
          <w:p>
            <w:pPr>
              <w:pStyle w:val="0"/>
            </w:pPr>
            <w:r>
              <w:rPr>
                <w:sz w:val="20"/>
              </w:rPr>
              <w:t xml:space="preserve">бюджет автономного округа, местный бюджет</w:t>
            </w:r>
          </w:p>
        </w:tc>
      </w:tr>
      <w:tr>
        <w:tc>
          <w:tcPr>
            <w:tcW w:w="567" w:type="dxa"/>
          </w:tcPr>
          <w:p>
            <w:pPr>
              <w:pStyle w:val="0"/>
            </w:pPr>
            <w:r>
              <w:rPr>
                <w:sz w:val="20"/>
              </w:rPr>
              <w:t xml:space="preserve">4.</w:t>
            </w:r>
          </w:p>
        </w:tc>
        <w:tc>
          <w:tcPr>
            <w:tcW w:w="2381" w:type="dxa"/>
          </w:tcPr>
          <w:p>
            <w:pPr>
              <w:pStyle w:val="0"/>
            </w:pPr>
            <w:r>
              <w:rPr>
                <w:sz w:val="20"/>
              </w:rPr>
              <w:t xml:space="preserve">Березовский район</w:t>
            </w:r>
          </w:p>
        </w:tc>
        <w:tc>
          <w:tcPr>
            <w:tcW w:w="2268" w:type="dxa"/>
          </w:tcPr>
          <w:p>
            <w:pPr>
              <w:pStyle w:val="0"/>
            </w:pPr>
            <w:r>
              <w:rPr>
                <w:sz w:val="20"/>
              </w:rPr>
              <w:t xml:space="preserve">Городское казначейское управление</w:t>
            </w:r>
          </w:p>
        </w:tc>
        <w:tc>
          <w:tcPr>
            <w:tcW w:w="1701" w:type="dxa"/>
          </w:tcPr>
          <w:p>
            <w:pPr>
              <w:pStyle w:val="0"/>
            </w:pPr>
            <w:r>
              <w:rPr>
                <w:sz w:val="20"/>
              </w:rPr>
              <w:t xml:space="preserve">2022 - 2024 годы</w:t>
            </w:r>
          </w:p>
        </w:tc>
        <w:tc>
          <w:tcPr>
            <w:tcW w:w="2154" w:type="dxa"/>
          </w:tcPr>
          <w:p>
            <w:pPr>
              <w:pStyle w:val="0"/>
            </w:pPr>
            <w:r>
              <w:rPr>
                <w:sz w:val="20"/>
              </w:rPr>
              <w:t xml:space="preserve">бюджет автономного округа, местный бюджет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ind w:firstLine="540"/>
        <w:jc w:val="both"/>
      </w:pPr>
      <w:r>
        <w:rPr>
          <w:sz w:val="20"/>
        </w:rPr>
      </w:r>
    </w:p>
    <w:bookmarkStart w:id="2002" w:name="P2002"/>
    <w:bookmarkEnd w:id="2002"/>
    <w:p>
      <w:pPr>
        <w:pStyle w:val="2"/>
        <w:jc w:val="center"/>
      </w:pPr>
      <w:r>
        <w:rPr>
          <w:sz w:val="20"/>
        </w:rPr>
        <w:t xml:space="preserve">ПЛАН</w:t>
      </w:r>
    </w:p>
    <w:p>
      <w:pPr>
        <w:pStyle w:val="2"/>
        <w:jc w:val="center"/>
      </w:pPr>
      <w:r>
        <w:rPr>
          <w:sz w:val="20"/>
        </w:rPr>
        <w:t xml:space="preserve">ОСНОВНЫХ МЕРОПРИЯТИЙ, ПОСВЯЩЕННЫХ ПРОВЕДЕНИЮ</w:t>
      </w:r>
    </w:p>
    <w:p>
      <w:pPr>
        <w:pStyle w:val="2"/>
        <w:jc w:val="center"/>
      </w:pPr>
      <w:r>
        <w:rPr>
          <w:sz w:val="20"/>
        </w:rPr>
        <w:t xml:space="preserve">В ХАНТЫ-МАНСИЙСКОМ АВТОНОМНОМ ОКРУГЕ - ЮГРЕ ГОДА КУЛЬТУРНОГО</w:t>
      </w:r>
    </w:p>
    <w:p>
      <w:pPr>
        <w:pStyle w:val="2"/>
        <w:jc w:val="center"/>
      </w:pPr>
      <w:r>
        <w:rPr>
          <w:sz w:val="20"/>
        </w:rPr>
        <w:t xml:space="preserve">НАСЛЕДИЯ НАРОДОВ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0" w:tooltip="Постановление Правительства ХМАО - Югры от 09.02.2022 N 46-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color w:val="392c69"/>
              </w:rPr>
              <w:t xml:space="preserve"> Правительства ХМАО - Югры от 09.02.2022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2041"/>
        <w:gridCol w:w="3175"/>
        <w:gridCol w:w="3288"/>
      </w:tblGrid>
      <w:tr>
        <w:tc>
          <w:tcPr>
            <w:tcW w:w="454" w:type="dxa"/>
          </w:tcPr>
          <w:p>
            <w:pPr>
              <w:pStyle w:val="0"/>
              <w:jc w:val="center"/>
            </w:pPr>
            <w:r>
              <w:rPr>
                <w:sz w:val="20"/>
              </w:rPr>
              <w:t xml:space="preserve">N п/п</w:t>
            </w:r>
          </w:p>
        </w:tc>
        <w:tc>
          <w:tcPr>
            <w:tcW w:w="3402" w:type="dxa"/>
          </w:tcPr>
          <w:p>
            <w:pPr>
              <w:pStyle w:val="0"/>
              <w:jc w:val="center"/>
            </w:pPr>
            <w:r>
              <w:rPr>
                <w:sz w:val="20"/>
              </w:rPr>
              <w:t xml:space="preserve">Наименование мероприятия</w:t>
            </w:r>
          </w:p>
        </w:tc>
        <w:tc>
          <w:tcPr>
            <w:tcW w:w="2041" w:type="dxa"/>
          </w:tcPr>
          <w:p>
            <w:pPr>
              <w:pStyle w:val="0"/>
              <w:jc w:val="center"/>
            </w:pPr>
            <w:r>
              <w:rPr>
                <w:sz w:val="20"/>
              </w:rPr>
              <w:t xml:space="preserve">Сроки проведения</w:t>
            </w:r>
          </w:p>
        </w:tc>
        <w:tc>
          <w:tcPr>
            <w:tcW w:w="3175" w:type="dxa"/>
          </w:tcPr>
          <w:p>
            <w:pPr>
              <w:pStyle w:val="0"/>
              <w:jc w:val="center"/>
            </w:pPr>
            <w:r>
              <w:rPr>
                <w:sz w:val="20"/>
              </w:rPr>
              <w:t xml:space="preserve">Ответственные исполнители</w:t>
            </w:r>
          </w:p>
        </w:tc>
        <w:tc>
          <w:tcPr>
            <w:tcW w:w="3288" w:type="dxa"/>
          </w:tcPr>
          <w:p>
            <w:pPr>
              <w:pStyle w:val="0"/>
              <w:jc w:val="center"/>
            </w:pPr>
            <w:r>
              <w:rPr>
                <w:sz w:val="20"/>
              </w:rPr>
              <w:t xml:space="preserve">Источник финансирования</w:t>
            </w:r>
          </w:p>
        </w:tc>
      </w:tr>
      <w:tr>
        <w:tc>
          <w:tcPr>
            <w:tcW w:w="454" w:type="dxa"/>
          </w:tcPr>
          <w:p>
            <w:pPr>
              <w:pStyle w:val="0"/>
            </w:pPr>
            <w:r>
              <w:rPr>
                <w:sz w:val="20"/>
              </w:rPr>
              <w:t xml:space="preserve">1.</w:t>
            </w:r>
          </w:p>
        </w:tc>
        <w:tc>
          <w:tcPr>
            <w:tcW w:w="3402" w:type="dxa"/>
          </w:tcPr>
          <w:p>
            <w:pPr>
              <w:pStyle w:val="0"/>
            </w:pPr>
            <w:r>
              <w:rPr>
                <w:sz w:val="20"/>
              </w:rPr>
              <w:t xml:space="preserve">XVII Межрегиональная конференция творческих исследований для детей и подростков "Ремесла и промыслы: прошлое и настоящее"</w:t>
            </w:r>
          </w:p>
        </w:tc>
        <w:tc>
          <w:tcPr>
            <w:tcW w:w="2041" w:type="dxa"/>
          </w:tcPr>
          <w:p>
            <w:pPr>
              <w:pStyle w:val="0"/>
            </w:pPr>
            <w:r>
              <w:rPr>
                <w:sz w:val="20"/>
              </w:rPr>
              <w:t xml:space="preserve">до 31 марта 2022 года</w:t>
            </w:r>
          </w:p>
        </w:tc>
        <w:tc>
          <w:tcPr>
            <w:tcW w:w="3175" w:type="dxa"/>
          </w:tcPr>
          <w:p>
            <w:pPr>
              <w:pStyle w:val="0"/>
            </w:pPr>
            <w:r>
              <w:rPr>
                <w:sz w:val="20"/>
              </w:rPr>
              <w:t xml:space="preserve">Департамент культуры Ханты-Мансийского автономного округа - Югры (далее - автономный округ Депкультуры Югры)</w:t>
            </w:r>
          </w:p>
        </w:tc>
        <w:tc>
          <w:tcPr>
            <w:tcW w:w="3288" w:type="dxa"/>
          </w:tcPr>
          <w:p>
            <w:pPr>
              <w:pStyle w:val="0"/>
            </w:pPr>
            <w:r>
              <w:rPr>
                <w:sz w:val="20"/>
              </w:rPr>
              <w:t xml:space="preserve">Государственная </w:t>
            </w:r>
            <w:hyperlink w:history="0" r:id="rId34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автономного округа "Культурное пространство" (далее - Программа "Культурное пространство)</w:t>
            </w:r>
          </w:p>
        </w:tc>
      </w:tr>
      <w:tr>
        <w:tc>
          <w:tcPr>
            <w:tcW w:w="454" w:type="dxa"/>
          </w:tcPr>
          <w:p>
            <w:pPr>
              <w:pStyle w:val="0"/>
            </w:pPr>
            <w:r>
              <w:rPr>
                <w:sz w:val="20"/>
              </w:rPr>
              <w:t xml:space="preserve">2.</w:t>
            </w:r>
          </w:p>
        </w:tc>
        <w:tc>
          <w:tcPr>
            <w:tcW w:w="3402" w:type="dxa"/>
          </w:tcPr>
          <w:p>
            <w:pPr>
              <w:pStyle w:val="0"/>
            </w:pPr>
            <w:r>
              <w:rPr>
                <w:sz w:val="20"/>
              </w:rPr>
              <w:t xml:space="preserve">Окружная научно-практическая конференция "Знаменские чтения"</w:t>
            </w:r>
          </w:p>
        </w:tc>
        <w:tc>
          <w:tcPr>
            <w:tcW w:w="2041" w:type="dxa"/>
          </w:tcPr>
          <w:p>
            <w:pPr>
              <w:pStyle w:val="0"/>
            </w:pPr>
            <w:r>
              <w:rPr>
                <w:sz w:val="20"/>
              </w:rPr>
              <w:t xml:space="preserve">до 31 марта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4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3.</w:t>
            </w:r>
          </w:p>
        </w:tc>
        <w:tc>
          <w:tcPr>
            <w:tcW w:w="3402" w:type="dxa"/>
          </w:tcPr>
          <w:p>
            <w:pPr>
              <w:pStyle w:val="0"/>
            </w:pPr>
            <w:r>
              <w:rPr>
                <w:sz w:val="20"/>
              </w:rPr>
              <w:t xml:space="preserve">Открытая региональная детско-юношеская научно-практическая конференция "Нематериальное культурное наследие и профессиональное изобразительное искусство: грани соприкосновения"</w:t>
            </w:r>
          </w:p>
        </w:tc>
        <w:tc>
          <w:tcPr>
            <w:tcW w:w="2041" w:type="dxa"/>
          </w:tcPr>
          <w:p>
            <w:pPr>
              <w:pStyle w:val="0"/>
            </w:pPr>
            <w:r>
              <w:rPr>
                <w:sz w:val="20"/>
              </w:rPr>
              <w:t xml:space="preserve">до 31 марта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4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4.</w:t>
            </w:r>
          </w:p>
        </w:tc>
        <w:tc>
          <w:tcPr>
            <w:tcW w:w="3402" w:type="dxa"/>
          </w:tcPr>
          <w:p>
            <w:pPr>
              <w:pStyle w:val="0"/>
            </w:pPr>
            <w:r>
              <w:rPr>
                <w:sz w:val="20"/>
              </w:rPr>
              <w:t xml:space="preserve">Единый день чтения в автономном округе "Читаем мифы и легенды народов России"</w:t>
            </w:r>
          </w:p>
        </w:tc>
        <w:tc>
          <w:tcPr>
            <w:tcW w:w="2041" w:type="dxa"/>
          </w:tcPr>
          <w:p>
            <w:pPr>
              <w:pStyle w:val="0"/>
            </w:pPr>
            <w:r>
              <w:rPr>
                <w:sz w:val="20"/>
              </w:rPr>
              <w:t xml:space="preserve">до 31 марта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46"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5.</w:t>
            </w:r>
          </w:p>
        </w:tc>
        <w:tc>
          <w:tcPr>
            <w:tcW w:w="3402" w:type="dxa"/>
          </w:tcPr>
          <w:p>
            <w:pPr>
              <w:pStyle w:val="0"/>
            </w:pPr>
            <w:r>
              <w:rPr>
                <w:sz w:val="20"/>
              </w:rPr>
              <w:t xml:space="preserve">Концертная программа "Голоса народных инструментов"</w:t>
            </w:r>
          </w:p>
        </w:tc>
        <w:tc>
          <w:tcPr>
            <w:tcW w:w="2041" w:type="dxa"/>
          </w:tcPr>
          <w:p>
            <w:pPr>
              <w:pStyle w:val="0"/>
            </w:pPr>
            <w:r>
              <w:rPr>
                <w:sz w:val="20"/>
              </w:rPr>
              <w:t xml:space="preserve">до 31 марта 2022 года</w:t>
            </w:r>
          </w:p>
        </w:tc>
        <w:tc>
          <w:tcPr>
            <w:tcW w:w="3175" w:type="dxa"/>
          </w:tcPr>
          <w:p>
            <w:pPr>
              <w:pStyle w:val="0"/>
            </w:pPr>
            <w:r>
              <w:rPr>
                <w:sz w:val="20"/>
              </w:rPr>
              <w:t xml:space="preserve">Депкультуры Югры</w:t>
            </w:r>
          </w:p>
        </w:tc>
        <w:tc>
          <w:tcPr>
            <w:tcW w:w="3288" w:type="dxa"/>
          </w:tcPr>
          <w:p>
            <w:pPr>
              <w:pStyle w:val="0"/>
            </w:pPr>
            <w:hyperlink w:history="0" r:id="rId34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6.</w:t>
            </w:r>
          </w:p>
        </w:tc>
        <w:tc>
          <w:tcPr>
            <w:tcW w:w="3402" w:type="dxa"/>
          </w:tcPr>
          <w:p>
            <w:pPr>
              <w:pStyle w:val="0"/>
            </w:pPr>
            <w:r>
              <w:rPr>
                <w:sz w:val="20"/>
              </w:rPr>
              <w:t xml:space="preserve">Концертная программа "Вечер русского романса"</w:t>
            </w:r>
          </w:p>
        </w:tc>
        <w:tc>
          <w:tcPr>
            <w:tcW w:w="2041" w:type="dxa"/>
          </w:tcPr>
          <w:p>
            <w:pPr>
              <w:pStyle w:val="0"/>
            </w:pPr>
            <w:r>
              <w:rPr>
                <w:sz w:val="20"/>
              </w:rPr>
              <w:t xml:space="preserve">до 31 марта 2022 года</w:t>
            </w:r>
          </w:p>
        </w:tc>
        <w:tc>
          <w:tcPr>
            <w:tcW w:w="3175" w:type="dxa"/>
          </w:tcPr>
          <w:p>
            <w:pPr>
              <w:pStyle w:val="0"/>
            </w:pPr>
            <w:r>
              <w:rPr>
                <w:sz w:val="20"/>
              </w:rPr>
              <w:t xml:space="preserve">Депкультуры Югры</w:t>
            </w:r>
          </w:p>
        </w:tc>
        <w:tc>
          <w:tcPr>
            <w:tcW w:w="3288" w:type="dxa"/>
          </w:tcPr>
          <w:p>
            <w:pPr>
              <w:pStyle w:val="0"/>
            </w:pPr>
            <w:hyperlink w:history="0" r:id="rId34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7.</w:t>
            </w:r>
          </w:p>
        </w:tc>
        <w:tc>
          <w:tcPr>
            <w:tcW w:w="3402" w:type="dxa"/>
          </w:tcPr>
          <w:p>
            <w:pPr>
              <w:pStyle w:val="0"/>
            </w:pPr>
            <w:r>
              <w:rPr>
                <w:sz w:val="20"/>
              </w:rPr>
              <w:t xml:space="preserve">Открытые региональные соревнования по этноспорту "Охотничий биатлон"</w:t>
            </w:r>
          </w:p>
        </w:tc>
        <w:tc>
          <w:tcPr>
            <w:tcW w:w="2041" w:type="dxa"/>
          </w:tcPr>
          <w:p>
            <w:pPr>
              <w:pStyle w:val="0"/>
            </w:pPr>
            <w:r>
              <w:rPr>
                <w:sz w:val="20"/>
              </w:rPr>
              <w:t xml:space="preserve">до 31 марта 2022 года</w:t>
            </w:r>
          </w:p>
        </w:tc>
        <w:tc>
          <w:tcPr>
            <w:tcW w:w="3175" w:type="dxa"/>
          </w:tcPr>
          <w:p>
            <w:pPr>
              <w:pStyle w:val="0"/>
            </w:pPr>
            <w:r>
              <w:rPr>
                <w:sz w:val="20"/>
              </w:rPr>
              <w:t xml:space="preserve">Департамент физической культуры и спорта автономного округа (далее - Депспорта Югры)</w:t>
            </w:r>
          </w:p>
        </w:tc>
        <w:tc>
          <w:tcPr>
            <w:tcW w:w="3288" w:type="dxa"/>
          </w:tcPr>
          <w:p>
            <w:pPr>
              <w:pStyle w:val="0"/>
            </w:pPr>
            <w:r>
              <w:rPr>
                <w:sz w:val="20"/>
              </w:rPr>
              <w:t xml:space="preserve">Государственная </w:t>
            </w:r>
            <w:hyperlink w:history="0" r:id="rId349" w:tooltip="Постановление Правительства ХМАО - Югры от 31.10.2021 N 478-п (ред. от 13.10.2023) &quot;О государственной программе Ханты-Мансийского автономного округа - Югры &quot;Устойчивое развитие коренных малочисленных народов Севера&quot; {КонсультантПлюс}">
              <w:r>
                <w:rPr>
                  <w:sz w:val="20"/>
                  <w:color w:val="0000ff"/>
                </w:rPr>
                <w:t xml:space="preserve">программа</w:t>
              </w:r>
            </w:hyperlink>
            <w:r>
              <w:rPr>
                <w:sz w:val="20"/>
              </w:rPr>
              <w:t xml:space="preserve"> автономного округа "Устойчивое развитие коренных малочисленных народов Севера", утвержденная постановлением Правительства автономного округа от 31 октября 2021 года N 478-п (далее - Программа "Устойчивое развитие коренных малочисленных народов Севера")</w:t>
            </w:r>
          </w:p>
        </w:tc>
      </w:tr>
      <w:tr>
        <w:tc>
          <w:tcPr>
            <w:tcW w:w="454" w:type="dxa"/>
          </w:tcPr>
          <w:p>
            <w:pPr>
              <w:pStyle w:val="0"/>
            </w:pPr>
            <w:r>
              <w:rPr>
                <w:sz w:val="20"/>
              </w:rPr>
              <w:t xml:space="preserve">8.</w:t>
            </w:r>
          </w:p>
        </w:tc>
        <w:tc>
          <w:tcPr>
            <w:tcW w:w="3402" w:type="dxa"/>
          </w:tcPr>
          <w:p>
            <w:pPr>
              <w:pStyle w:val="0"/>
            </w:pPr>
            <w:r>
              <w:rPr>
                <w:sz w:val="20"/>
              </w:rPr>
              <w:t xml:space="preserve">Окружной научно-практический семинар "Традиционный мансийский праздник Вороний день: традиции и современность"</w:t>
            </w:r>
          </w:p>
        </w:tc>
        <w:tc>
          <w:tcPr>
            <w:tcW w:w="2041" w:type="dxa"/>
          </w:tcPr>
          <w:p>
            <w:pPr>
              <w:pStyle w:val="0"/>
            </w:pPr>
            <w:r>
              <w:rPr>
                <w:sz w:val="20"/>
              </w:rPr>
              <w:t xml:space="preserve">до 31 марта 2022 года</w:t>
            </w:r>
          </w:p>
        </w:tc>
        <w:tc>
          <w:tcPr>
            <w:tcW w:w="3175" w:type="dxa"/>
          </w:tcPr>
          <w:p>
            <w:pPr>
              <w:pStyle w:val="0"/>
            </w:pPr>
            <w:r>
              <w:rPr>
                <w:sz w:val="20"/>
              </w:rPr>
              <w:t xml:space="preserve">Департамент образования и молодежной политики автономного округа (далее - Депобразования и молодежи Югры)</w:t>
            </w:r>
          </w:p>
        </w:tc>
        <w:tc>
          <w:tcPr>
            <w:tcW w:w="3288" w:type="dxa"/>
          </w:tcPr>
          <w:p>
            <w:pPr>
              <w:pStyle w:val="0"/>
            </w:pPr>
            <w:r>
              <w:rPr>
                <w:sz w:val="20"/>
              </w:rPr>
              <w:t xml:space="preserve">Государственная </w:t>
            </w:r>
            <w:hyperlink w:history="0" r:id="rId35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программа</w:t>
              </w:r>
            </w:hyperlink>
            <w:r>
              <w:rPr>
                <w:sz w:val="20"/>
              </w:rPr>
              <w:t xml:space="preserve"> автономного округа "Развитие образования", утвержденная постановлением Правительства автономного округа от 31 октября 2021 года N 468-п (далее - Программа "Развитие образования")</w:t>
            </w:r>
          </w:p>
        </w:tc>
      </w:tr>
      <w:tr>
        <w:tc>
          <w:tcPr>
            <w:tcW w:w="454" w:type="dxa"/>
          </w:tcPr>
          <w:p>
            <w:pPr>
              <w:pStyle w:val="0"/>
            </w:pPr>
            <w:r>
              <w:rPr>
                <w:sz w:val="20"/>
              </w:rPr>
              <w:t xml:space="preserve">9.</w:t>
            </w:r>
          </w:p>
        </w:tc>
        <w:tc>
          <w:tcPr>
            <w:tcW w:w="3402" w:type="dxa"/>
          </w:tcPr>
          <w:p>
            <w:pPr>
              <w:pStyle w:val="0"/>
            </w:pPr>
            <w:r>
              <w:rPr>
                <w:sz w:val="20"/>
              </w:rPr>
              <w:t xml:space="preserve">Концертная программа "Ой, то не вечер!"</w:t>
            </w:r>
          </w:p>
        </w:tc>
        <w:tc>
          <w:tcPr>
            <w:tcW w:w="2041" w:type="dxa"/>
          </w:tcPr>
          <w:p>
            <w:pPr>
              <w:pStyle w:val="0"/>
            </w:pPr>
            <w:r>
              <w:rPr>
                <w:sz w:val="20"/>
              </w:rPr>
              <w:t xml:space="preserve">до 30 апреля 2022 года</w:t>
            </w:r>
          </w:p>
        </w:tc>
        <w:tc>
          <w:tcPr>
            <w:tcW w:w="3175" w:type="dxa"/>
          </w:tcPr>
          <w:p>
            <w:pPr>
              <w:pStyle w:val="0"/>
            </w:pPr>
            <w:r>
              <w:rPr>
                <w:sz w:val="20"/>
              </w:rPr>
              <w:t xml:space="preserve">Депкультуры Югры</w:t>
            </w:r>
          </w:p>
        </w:tc>
        <w:tc>
          <w:tcPr>
            <w:tcW w:w="3288" w:type="dxa"/>
          </w:tcPr>
          <w:p>
            <w:pPr>
              <w:pStyle w:val="0"/>
            </w:pPr>
            <w:hyperlink w:history="0" r:id="rId351"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10.</w:t>
            </w:r>
          </w:p>
        </w:tc>
        <w:tc>
          <w:tcPr>
            <w:tcW w:w="3402" w:type="dxa"/>
          </w:tcPr>
          <w:p>
            <w:pPr>
              <w:pStyle w:val="0"/>
            </w:pPr>
            <w:r>
              <w:rPr>
                <w:sz w:val="20"/>
              </w:rPr>
              <w:t xml:space="preserve">Концертно-пластическая постановка "Нити судьбы"</w:t>
            </w:r>
          </w:p>
        </w:tc>
        <w:tc>
          <w:tcPr>
            <w:tcW w:w="2041" w:type="dxa"/>
          </w:tcPr>
          <w:p>
            <w:pPr>
              <w:pStyle w:val="0"/>
            </w:pPr>
            <w:r>
              <w:rPr>
                <w:sz w:val="20"/>
              </w:rPr>
              <w:t xml:space="preserve">до 30 апреля 2022 года</w:t>
            </w:r>
          </w:p>
        </w:tc>
        <w:tc>
          <w:tcPr>
            <w:tcW w:w="3175" w:type="dxa"/>
          </w:tcPr>
          <w:p>
            <w:pPr>
              <w:pStyle w:val="0"/>
            </w:pPr>
            <w:r>
              <w:rPr>
                <w:sz w:val="20"/>
              </w:rPr>
              <w:t xml:space="preserve">Депкультуры Югры</w:t>
            </w:r>
          </w:p>
        </w:tc>
        <w:tc>
          <w:tcPr>
            <w:tcW w:w="3288" w:type="dxa"/>
          </w:tcPr>
          <w:p>
            <w:pPr>
              <w:pStyle w:val="0"/>
            </w:pPr>
            <w:hyperlink w:history="0" r:id="rId352"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11.</w:t>
            </w:r>
          </w:p>
        </w:tc>
        <w:tc>
          <w:tcPr>
            <w:tcW w:w="3402" w:type="dxa"/>
          </w:tcPr>
          <w:p>
            <w:pPr>
              <w:pStyle w:val="0"/>
            </w:pPr>
            <w:r>
              <w:rPr>
                <w:sz w:val="20"/>
              </w:rPr>
              <w:t xml:space="preserve">XX Окружные Пасхальные хоровые Ассамблеи</w:t>
            </w:r>
          </w:p>
        </w:tc>
        <w:tc>
          <w:tcPr>
            <w:tcW w:w="2041" w:type="dxa"/>
          </w:tcPr>
          <w:p>
            <w:pPr>
              <w:pStyle w:val="0"/>
            </w:pPr>
            <w:r>
              <w:rPr>
                <w:sz w:val="20"/>
              </w:rPr>
              <w:t xml:space="preserve">до 30 апреля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5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12.</w:t>
            </w:r>
          </w:p>
        </w:tc>
        <w:tc>
          <w:tcPr>
            <w:tcW w:w="3402" w:type="dxa"/>
          </w:tcPr>
          <w:p>
            <w:pPr>
              <w:pStyle w:val="0"/>
            </w:pPr>
            <w:r>
              <w:rPr>
                <w:sz w:val="20"/>
              </w:rPr>
              <w:t xml:space="preserve">Мероприятия, посвященные мансийскому празднику Вороний день</w:t>
            </w:r>
          </w:p>
        </w:tc>
        <w:tc>
          <w:tcPr>
            <w:tcW w:w="2041" w:type="dxa"/>
          </w:tcPr>
          <w:p>
            <w:pPr>
              <w:pStyle w:val="0"/>
            </w:pPr>
            <w:r>
              <w:rPr>
                <w:sz w:val="20"/>
              </w:rPr>
              <w:t xml:space="preserve">до 30 апреля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5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13.</w:t>
            </w:r>
          </w:p>
        </w:tc>
        <w:tc>
          <w:tcPr>
            <w:tcW w:w="3402" w:type="dxa"/>
          </w:tcPr>
          <w:p>
            <w:pPr>
              <w:pStyle w:val="0"/>
            </w:pPr>
            <w:r>
              <w:rPr>
                <w:sz w:val="20"/>
              </w:rPr>
              <w:t xml:space="preserve">XVII Окружная выставка-конкурс детского художественного творчества "Северная фантазия"</w:t>
            </w:r>
          </w:p>
        </w:tc>
        <w:tc>
          <w:tcPr>
            <w:tcW w:w="2041" w:type="dxa"/>
          </w:tcPr>
          <w:p>
            <w:pPr>
              <w:pStyle w:val="0"/>
            </w:pPr>
            <w:r>
              <w:rPr>
                <w:sz w:val="20"/>
              </w:rPr>
              <w:t xml:space="preserve">до 31 мая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5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14.</w:t>
            </w:r>
          </w:p>
        </w:tc>
        <w:tc>
          <w:tcPr>
            <w:tcW w:w="3402" w:type="dxa"/>
          </w:tcPr>
          <w:p>
            <w:pPr>
              <w:pStyle w:val="0"/>
            </w:pPr>
            <w:r>
              <w:rPr>
                <w:sz w:val="20"/>
              </w:rPr>
              <w:t xml:space="preserve">Окружной весенний этнофест</w:t>
            </w:r>
          </w:p>
        </w:tc>
        <w:tc>
          <w:tcPr>
            <w:tcW w:w="2041" w:type="dxa"/>
          </w:tcPr>
          <w:p>
            <w:pPr>
              <w:pStyle w:val="0"/>
            </w:pPr>
            <w:r>
              <w:rPr>
                <w:sz w:val="20"/>
              </w:rPr>
              <w:t xml:space="preserve">до 31 мая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56"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15.</w:t>
            </w:r>
          </w:p>
        </w:tc>
        <w:tc>
          <w:tcPr>
            <w:tcW w:w="3402" w:type="dxa"/>
          </w:tcPr>
          <w:p>
            <w:pPr>
              <w:pStyle w:val="0"/>
            </w:pPr>
            <w:r>
              <w:rPr>
                <w:sz w:val="20"/>
              </w:rPr>
              <w:t xml:space="preserve">Школа наставничества по сохранению и развитию нематериального культурного наследия народов автономного округа</w:t>
            </w:r>
          </w:p>
        </w:tc>
        <w:tc>
          <w:tcPr>
            <w:tcW w:w="2041" w:type="dxa"/>
          </w:tcPr>
          <w:p>
            <w:pPr>
              <w:pStyle w:val="0"/>
            </w:pPr>
            <w:r>
              <w:rPr>
                <w:sz w:val="20"/>
              </w:rPr>
              <w:t xml:space="preserve">до 31 мая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5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16.</w:t>
            </w:r>
          </w:p>
        </w:tc>
        <w:tc>
          <w:tcPr>
            <w:tcW w:w="3402" w:type="dxa"/>
          </w:tcPr>
          <w:p>
            <w:pPr>
              <w:pStyle w:val="0"/>
            </w:pPr>
            <w:r>
              <w:rPr>
                <w:sz w:val="20"/>
              </w:rPr>
              <w:t xml:space="preserve">Фестиваль-конкурс фото- и видеоработ "Взгляд на искусство народов России"</w:t>
            </w:r>
          </w:p>
        </w:tc>
        <w:tc>
          <w:tcPr>
            <w:tcW w:w="2041" w:type="dxa"/>
          </w:tcPr>
          <w:p>
            <w:pPr>
              <w:pStyle w:val="0"/>
            </w:pPr>
            <w:r>
              <w:rPr>
                <w:sz w:val="20"/>
              </w:rPr>
              <w:t xml:space="preserve">до 30 июня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5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17.</w:t>
            </w:r>
          </w:p>
        </w:tc>
        <w:tc>
          <w:tcPr>
            <w:tcW w:w="3402" w:type="dxa"/>
          </w:tcPr>
          <w:p>
            <w:pPr>
              <w:pStyle w:val="0"/>
            </w:pPr>
            <w:r>
              <w:rPr>
                <w:sz w:val="20"/>
              </w:rPr>
              <w:t xml:space="preserve">Проект "Народный пленэр"</w:t>
            </w:r>
          </w:p>
        </w:tc>
        <w:tc>
          <w:tcPr>
            <w:tcW w:w="2041" w:type="dxa"/>
          </w:tcPr>
          <w:p>
            <w:pPr>
              <w:pStyle w:val="0"/>
            </w:pPr>
            <w:r>
              <w:rPr>
                <w:sz w:val="20"/>
              </w:rPr>
              <w:t xml:space="preserve">до 30 июня 2022 года</w:t>
            </w:r>
          </w:p>
        </w:tc>
        <w:tc>
          <w:tcPr>
            <w:tcW w:w="3175" w:type="dxa"/>
          </w:tcPr>
          <w:p>
            <w:pPr>
              <w:pStyle w:val="0"/>
            </w:pPr>
            <w:r>
              <w:rPr>
                <w:sz w:val="20"/>
              </w:rPr>
              <w:t xml:space="preserve">Депкультуры Югры</w:t>
            </w:r>
          </w:p>
        </w:tc>
        <w:tc>
          <w:tcPr>
            <w:tcW w:w="3288" w:type="dxa"/>
          </w:tcPr>
          <w:p>
            <w:pPr>
              <w:pStyle w:val="0"/>
            </w:pPr>
            <w:hyperlink w:history="0" r:id="rId35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18.</w:t>
            </w:r>
          </w:p>
        </w:tc>
        <w:tc>
          <w:tcPr>
            <w:tcW w:w="3402" w:type="dxa"/>
          </w:tcPr>
          <w:p>
            <w:pPr>
              <w:pStyle w:val="0"/>
            </w:pPr>
            <w:r>
              <w:rPr>
                <w:sz w:val="20"/>
              </w:rPr>
              <w:t xml:space="preserve">Всероссийский фестиваль анимационных хроник традиций народов мира "Неизведанная вселенная"</w:t>
            </w:r>
          </w:p>
        </w:tc>
        <w:tc>
          <w:tcPr>
            <w:tcW w:w="2041" w:type="dxa"/>
          </w:tcPr>
          <w:p>
            <w:pPr>
              <w:pStyle w:val="0"/>
            </w:pPr>
            <w:r>
              <w:rPr>
                <w:sz w:val="20"/>
              </w:rPr>
              <w:t xml:space="preserve">до 30 июня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6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19.</w:t>
            </w:r>
          </w:p>
        </w:tc>
        <w:tc>
          <w:tcPr>
            <w:tcW w:w="3402" w:type="dxa"/>
          </w:tcPr>
          <w:p>
            <w:pPr>
              <w:pStyle w:val="0"/>
            </w:pPr>
            <w:r>
              <w:rPr>
                <w:sz w:val="20"/>
              </w:rPr>
              <w:t xml:space="preserve">Всероссийский фестиваль фольклорных театров</w:t>
            </w:r>
          </w:p>
        </w:tc>
        <w:tc>
          <w:tcPr>
            <w:tcW w:w="2041" w:type="dxa"/>
          </w:tcPr>
          <w:p>
            <w:pPr>
              <w:pStyle w:val="0"/>
            </w:pPr>
            <w:r>
              <w:rPr>
                <w:sz w:val="20"/>
              </w:rPr>
              <w:t xml:space="preserve">до 30 июня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61"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20.</w:t>
            </w:r>
          </w:p>
        </w:tc>
        <w:tc>
          <w:tcPr>
            <w:tcW w:w="3402" w:type="dxa"/>
          </w:tcPr>
          <w:p>
            <w:pPr>
              <w:pStyle w:val="0"/>
            </w:pPr>
            <w:r>
              <w:rPr>
                <w:sz w:val="20"/>
              </w:rPr>
              <w:t xml:space="preserve">Окружной конкурс детского рисунка "Радуга Югры"</w:t>
            </w:r>
          </w:p>
        </w:tc>
        <w:tc>
          <w:tcPr>
            <w:tcW w:w="2041" w:type="dxa"/>
          </w:tcPr>
          <w:p>
            <w:pPr>
              <w:pStyle w:val="0"/>
            </w:pPr>
            <w:r>
              <w:rPr>
                <w:sz w:val="20"/>
              </w:rPr>
              <w:t xml:space="preserve">до 30 июня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62"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21.</w:t>
            </w:r>
          </w:p>
        </w:tc>
        <w:tc>
          <w:tcPr>
            <w:tcW w:w="3402" w:type="dxa"/>
          </w:tcPr>
          <w:p>
            <w:pPr>
              <w:pStyle w:val="0"/>
            </w:pPr>
            <w:r>
              <w:rPr>
                <w:sz w:val="20"/>
              </w:rPr>
              <w:t xml:space="preserve">Практический семинар по игре и изготовлению музыкальных инструментов обско-угорских народов в рамках окружной школы мастеров по игре и изготовлению музыкальных инструментов обско-угорских народов</w:t>
            </w:r>
          </w:p>
        </w:tc>
        <w:tc>
          <w:tcPr>
            <w:tcW w:w="2041" w:type="dxa"/>
          </w:tcPr>
          <w:p>
            <w:pPr>
              <w:pStyle w:val="0"/>
            </w:pPr>
            <w:r>
              <w:rPr>
                <w:sz w:val="20"/>
              </w:rPr>
              <w:t xml:space="preserve">до 30 июня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6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22.</w:t>
            </w:r>
          </w:p>
        </w:tc>
        <w:tc>
          <w:tcPr>
            <w:tcW w:w="3402" w:type="dxa"/>
          </w:tcPr>
          <w:p>
            <w:pPr>
              <w:pStyle w:val="0"/>
            </w:pPr>
            <w:r>
              <w:rPr>
                <w:sz w:val="20"/>
              </w:rPr>
              <w:t xml:space="preserve">Окружной конкурс фотографий "Мой народ - моя гордость", посвященный Дню России</w:t>
            </w:r>
          </w:p>
        </w:tc>
        <w:tc>
          <w:tcPr>
            <w:tcW w:w="2041" w:type="dxa"/>
          </w:tcPr>
          <w:p>
            <w:pPr>
              <w:pStyle w:val="0"/>
            </w:pPr>
            <w:r>
              <w:rPr>
                <w:sz w:val="20"/>
              </w:rPr>
              <w:t xml:space="preserve">до 30 июня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6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23.</w:t>
            </w:r>
          </w:p>
        </w:tc>
        <w:tc>
          <w:tcPr>
            <w:tcW w:w="3402" w:type="dxa"/>
          </w:tcPr>
          <w:p>
            <w:pPr>
              <w:pStyle w:val="0"/>
            </w:pPr>
            <w:r>
              <w:rPr>
                <w:sz w:val="20"/>
              </w:rPr>
              <w:t xml:space="preserve">Детская концертная программа в исполнении "Ансамбля песни и танца"</w:t>
            </w:r>
          </w:p>
        </w:tc>
        <w:tc>
          <w:tcPr>
            <w:tcW w:w="2041" w:type="dxa"/>
          </w:tcPr>
          <w:p>
            <w:pPr>
              <w:pStyle w:val="0"/>
            </w:pPr>
            <w:r>
              <w:rPr>
                <w:sz w:val="20"/>
              </w:rPr>
              <w:t xml:space="preserve">до 30 июня 2022 года</w:t>
            </w:r>
          </w:p>
        </w:tc>
        <w:tc>
          <w:tcPr>
            <w:tcW w:w="3175" w:type="dxa"/>
          </w:tcPr>
          <w:p>
            <w:pPr>
              <w:pStyle w:val="0"/>
            </w:pPr>
            <w:r>
              <w:rPr>
                <w:sz w:val="20"/>
              </w:rPr>
              <w:t xml:space="preserve">Депкультуры Югры</w:t>
            </w:r>
          </w:p>
        </w:tc>
        <w:tc>
          <w:tcPr>
            <w:tcW w:w="3288" w:type="dxa"/>
          </w:tcPr>
          <w:p>
            <w:pPr>
              <w:pStyle w:val="0"/>
            </w:pPr>
            <w:hyperlink w:history="0" r:id="rId36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24.</w:t>
            </w:r>
          </w:p>
        </w:tc>
        <w:tc>
          <w:tcPr>
            <w:tcW w:w="3402" w:type="dxa"/>
          </w:tcPr>
          <w:p>
            <w:pPr>
              <w:pStyle w:val="0"/>
            </w:pPr>
            <w:r>
              <w:rPr>
                <w:sz w:val="20"/>
              </w:rPr>
              <w:t xml:space="preserve">Проект "Коды традиционного костюма Югры"</w:t>
            </w:r>
          </w:p>
        </w:tc>
        <w:tc>
          <w:tcPr>
            <w:tcW w:w="2041" w:type="dxa"/>
          </w:tcPr>
          <w:p>
            <w:pPr>
              <w:pStyle w:val="0"/>
            </w:pPr>
            <w:r>
              <w:rPr>
                <w:sz w:val="20"/>
              </w:rPr>
              <w:t xml:space="preserve">до 31 июля 2022 года</w:t>
            </w:r>
          </w:p>
        </w:tc>
        <w:tc>
          <w:tcPr>
            <w:tcW w:w="3175" w:type="dxa"/>
          </w:tcPr>
          <w:p>
            <w:pPr>
              <w:pStyle w:val="0"/>
            </w:pPr>
            <w:r>
              <w:rPr>
                <w:sz w:val="20"/>
              </w:rPr>
              <w:t xml:space="preserve">Депкультуры Югры</w:t>
            </w:r>
          </w:p>
        </w:tc>
        <w:tc>
          <w:tcPr>
            <w:tcW w:w="3288" w:type="dxa"/>
          </w:tcPr>
          <w:p>
            <w:pPr>
              <w:pStyle w:val="0"/>
            </w:pPr>
            <w:hyperlink w:history="0" r:id="rId366"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25.</w:t>
            </w:r>
          </w:p>
        </w:tc>
        <w:tc>
          <w:tcPr>
            <w:tcW w:w="3402" w:type="dxa"/>
          </w:tcPr>
          <w:p>
            <w:pPr>
              <w:pStyle w:val="0"/>
            </w:pPr>
            <w:r>
              <w:rPr>
                <w:sz w:val="20"/>
              </w:rPr>
              <w:t xml:space="preserve">Международные соревнования на Кубок Губернатора автономного округа по гребле на обласах в рамках праздника Вит хон хатл</w:t>
            </w:r>
          </w:p>
        </w:tc>
        <w:tc>
          <w:tcPr>
            <w:tcW w:w="2041" w:type="dxa"/>
          </w:tcPr>
          <w:p>
            <w:pPr>
              <w:pStyle w:val="0"/>
            </w:pPr>
            <w:r>
              <w:rPr>
                <w:sz w:val="20"/>
              </w:rPr>
              <w:t xml:space="preserve">до 31 июля 2022 года</w:t>
            </w:r>
          </w:p>
        </w:tc>
        <w:tc>
          <w:tcPr>
            <w:tcW w:w="3175" w:type="dxa"/>
          </w:tcPr>
          <w:p>
            <w:pPr>
              <w:pStyle w:val="0"/>
            </w:pPr>
            <w:r>
              <w:rPr>
                <w:sz w:val="20"/>
              </w:rPr>
              <w:t xml:space="preserve">Департамент физической культуры и спорта автономного округа</w:t>
            </w:r>
          </w:p>
        </w:tc>
        <w:tc>
          <w:tcPr>
            <w:tcW w:w="3288" w:type="dxa"/>
          </w:tcPr>
          <w:p>
            <w:pPr>
              <w:pStyle w:val="0"/>
            </w:pPr>
            <w:hyperlink w:history="0" r:id="rId367" w:tooltip="Постановление Правительства ХМАО - Югры от 31.10.2021 N 478-п (ред. от 13.10.2023) &quot;О государственной программе Ханты-Мансийского автономного округа - Югры &quot;Устойчивое развитие коренных малочисленных народов Севера&quot; {КонсультантПлюс}">
              <w:r>
                <w:rPr>
                  <w:sz w:val="20"/>
                  <w:color w:val="0000ff"/>
                </w:rPr>
                <w:t xml:space="preserve">Программа</w:t>
              </w:r>
            </w:hyperlink>
            <w:r>
              <w:rPr>
                <w:sz w:val="20"/>
              </w:rPr>
              <w:t xml:space="preserve"> "Устойчивое развитие коренных малочисленных народов Севера"</w:t>
            </w:r>
          </w:p>
        </w:tc>
      </w:tr>
      <w:tr>
        <w:tc>
          <w:tcPr>
            <w:tcW w:w="454" w:type="dxa"/>
          </w:tcPr>
          <w:p>
            <w:pPr>
              <w:pStyle w:val="0"/>
            </w:pPr>
            <w:r>
              <w:rPr>
                <w:sz w:val="20"/>
              </w:rPr>
              <w:t xml:space="preserve">26.</w:t>
            </w:r>
          </w:p>
        </w:tc>
        <w:tc>
          <w:tcPr>
            <w:tcW w:w="3402" w:type="dxa"/>
          </w:tcPr>
          <w:p>
            <w:pPr>
              <w:pStyle w:val="0"/>
            </w:pPr>
            <w:r>
              <w:rPr>
                <w:sz w:val="20"/>
              </w:rPr>
              <w:t xml:space="preserve">Премия Правительства автономного округа им. И.Н.Шесталова</w:t>
            </w:r>
          </w:p>
        </w:tc>
        <w:tc>
          <w:tcPr>
            <w:tcW w:w="2041" w:type="dxa"/>
          </w:tcPr>
          <w:p>
            <w:pPr>
              <w:pStyle w:val="0"/>
            </w:pPr>
            <w:r>
              <w:rPr>
                <w:sz w:val="20"/>
              </w:rPr>
              <w:t xml:space="preserve">до 31 июля 2022 года</w:t>
            </w:r>
          </w:p>
        </w:tc>
        <w:tc>
          <w:tcPr>
            <w:tcW w:w="3175" w:type="dxa"/>
          </w:tcPr>
          <w:p>
            <w:pPr>
              <w:pStyle w:val="0"/>
            </w:pPr>
            <w:r>
              <w:rPr>
                <w:sz w:val="20"/>
              </w:rPr>
              <w:t xml:space="preserve">Департамент общественных и внешних связей автономного округа (далее - Депобщественных и внешних связей Югры)</w:t>
            </w:r>
          </w:p>
        </w:tc>
        <w:tc>
          <w:tcPr>
            <w:tcW w:w="3288" w:type="dxa"/>
          </w:tcPr>
          <w:p>
            <w:pPr>
              <w:pStyle w:val="0"/>
            </w:pPr>
            <w:r>
              <w:rPr>
                <w:sz w:val="20"/>
              </w:rPr>
              <w:t xml:space="preserve">Государственная </w:t>
            </w:r>
            <w:hyperlink w:history="0" r:id="rId368"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программа</w:t>
              </w:r>
            </w:hyperlink>
            <w:r>
              <w:rPr>
                <w:sz w:val="20"/>
              </w:rPr>
              <w:t xml:space="preserve"> автономного округа "Развитие гражданского общества", утвержденная постановлением Правительства автономного округа от 31 октября 2021 года N 487-п (далее - Программа "Развитие гражданского общества")</w:t>
            </w:r>
          </w:p>
        </w:tc>
      </w:tr>
      <w:tr>
        <w:tc>
          <w:tcPr>
            <w:tcW w:w="454" w:type="dxa"/>
          </w:tcPr>
          <w:p>
            <w:pPr>
              <w:pStyle w:val="0"/>
            </w:pPr>
            <w:r>
              <w:rPr>
                <w:sz w:val="20"/>
              </w:rPr>
              <w:t xml:space="preserve">27.</w:t>
            </w:r>
          </w:p>
        </w:tc>
        <w:tc>
          <w:tcPr>
            <w:tcW w:w="3402" w:type="dxa"/>
          </w:tcPr>
          <w:p>
            <w:pPr>
              <w:pStyle w:val="0"/>
            </w:pPr>
            <w:r>
              <w:rPr>
                <w:sz w:val="20"/>
              </w:rPr>
              <w:t xml:space="preserve">Конкурсный отбор социально значимых проектов организаций, осуществляющих производство и (или) выпуск средств массовой информации на территории автономного округа, претендующих на предоставление грантов в форме субсидии на поддержку социально значимых проектов</w:t>
            </w:r>
          </w:p>
        </w:tc>
        <w:tc>
          <w:tcPr>
            <w:tcW w:w="2041" w:type="dxa"/>
          </w:tcPr>
          <w:p>
            <w:pPr>
              <w:pStyle w:val="0"/>
            </w:pPr>
            <w:r>
              <w:rPr>
                <w:sz w:val="20"/>
              </w:rPr>
              <w:t xml:space="preserve">до 31 июля 2022 года</w:t>
            </w:r>
          </w:p>
        </w:tc>
        <w:tc>
          <w:tcPr>
            <w:tcW w:w="3175" w:type="dxa"/>
          </w:tcPr>
          <w:p>
            <w:pPr>
              <w:pStyle w:val="0"/>
            </w:pPr>
            <w:r>
              <w:rPr>
                <w:sz w:val="20"/>
              </w:rPr>
              <w:t xml:space="preserve">Депобщественных и внешних связей Югры</w:t>
            </w:r>
          </w:p>
        </w:tc>
        <w:tc>
          <w:tcPr>
            <w:tcW w:w="3288" w:type="dxa"/>
          </w:tcPr>
          <w:p>
            <w:pPr>
              <w:pStyle w:val="0"/>
            </w:pPr>
            <w:hyperlink w:history="0" r:id="rId369"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Программа</w:t>
              </w:r>
            </w:hyperlink>
            <w:r>
              <w:rPr>
                <w:sz w:val="20"/>
              </w:rPr>
              <w:t xml:space="preserve"> "Развитие гражданского общества"</w:t>
            </w:r>
          </w:p>
        </w:tc>
      </w:tr>
      <w:tr>
        <w:tc>
          <w:tcPr>
            <w:tcW w:w="454" w:type="dxa"/>
          </w:tcPr>
          <w:p>
            <w:pPr>
              <w:pStyle w:val="0"/>
            </w:pPr>
            <w:r>
              <w:rPr>
                <w:sz w:val="20"/>
              </w:rPr>
              <w:t xml:space="preserve">28.</w:t>
            </w:r>
          </w:p>
        </w:tc>
        <w:tc>
          <w:tcPr>
            <w:tcW w:w="3402" w:type="dxa"/>
          </w:tcPr>
          <w:p>
            <w:pPr>
              <w:pStyle w:val="0"/>
            </w:pPr>
            <w:r>
              <w:rPr>
                <w:sz w:val="20"/>
              </w:rPr>
              <w:t xml:space="preserve">Тематические кинопоказы к Международному дню коренных малочисленных народов Севера</w:t>
            </w:r>
          </w:p>
        </w:tc>
        <w:tc>
          <w:tcPr>
            <w:tcW w:w="2041" w:type="dxa"/>
          </w:tcPr>
          <w:p>
            <w:pPr>
              <w:pStyle w:val="0"/>
            </w:pPr>
            <w:r>
              <w:rPr>
                <w:sz w:val="20"/>
              </w:rPr>
              <w:t xml:space="preserve">до 31 августа 2022 года</w:t>
            </w:r>
          </w:p>
        </w:tc>
        <w:tc>
          <w:tcPr>
            <w:tcW w:w="3175" w:type="dxa"/>
          </w:tcPr>
          <w:p>
            <w:pPr>
              <w:pStyle w:val="0"/>
            </w:pPr>
            <w:r>
              <w:rPr>
                <w:sz w:val="20"/>
              </w:rPr>
              <w:t xml:space="preserve">Депкультуры Югры</w:t>
            </w:r>
          </w:p>
        </w:tc>
        <w:tc>
          <w:tcPr>
            <w:tcW w:w="3288" w:type="dxa"/>
          </w:tcPr>
          <w:p>
            <w:pPr>
              <w:pStyle w:val="0"/>
            </w:pPr>
            <w:hyperlink w:history="0" r:id="rId37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29.</w:t>
            </w:r>
          </w:p>
        </w:tc>
        <w:tc>
          <w:tcPr>
            <w:tcW w:w="3402" w:type="dxa"/>
          </w:tcPr>
          <w:p>
            <w:pPr>
              <w:pStyle w:val="0"/>
            </w:pPr>
            <w:r>
              <w:rPr>
                <w:sz w:val="20"/>
              </w:rPr>
              <w:t xml:space="preserve">Международный арт-пленэр</w:t>
            </w:r>
          </w:p>
        </w:tc>
        <w:tc>
          <w:tcPr>
            <w:tcW w:w="2041" w:type="dxa"/>
          </w:tcPr>
          <w:p>
            <w:pPr>
              <w:pStyle w:val="0"/>
            </w:pPr>
            <w:r>
              <w:rPr>
                <w:sz w:val="20"/>
              </w:rPr>
              <w:t xml:space="preserve">до 31 августа 2022 года</w:t>
            </w:r>
          </w:p>
        </w:tc>
        <w:tc>
          <w:tcPr>
            <w:tcW w:w="3175" w:type="dxa"/>
          </w:tcPr>
          <w:p>
            <w:pPr>
              <w:pStyle w:val="0"/>
            </w:pPr>
            <w:r>
              <w:rPr>
                <w:sz w:val="20"/>
              </w:rPr>
              <w:t xml:space="preserve">Депкультуры Югры</w:t>
            </w:r>
          </w:p>
        </w:tc>
        <w:tc>
          <w:tcPr>
            <w:tcW w:w="3288" w:type="dxa"/>
          </w:tcPr>
          <w:p>
            <w:pPr>
              <w:pStyle w:val="0"/>
            </w:pPr>
            <w:hyperlink w:history="0" r:id="rId371"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30.</w:t>
            </w:r>
          </w:p>
        </w:tc>
        <w:tc>
          <w:tcPr>
            <w:tcW w:w="3402" w:type="dxa"/>
          </w:tcPr>
          <w:p>
            <w:pPr>
              <w:pStyle w:val="0"/>
            </w:pPr>
            <w:r>
              <w:rPr>
                <w:sz w:val="20"/>
              </w:rPr>
              <w:t xml:space="preserve">Мероприятия, посвященные Международному дню коренных народов мира</w:t>
            </w:r>
          </w:p>
        </w:tc>
        <w:tc>
          <w:tcPr>
            <w:tcW w:w="2041" w:type="dxa"/>
          </w:tcPr>
          <w:p>
            <w:pPr>
              <w:pStyle w:val="0"/>
            </w:pPr>
            <w:r>
              <w:rPr>
                <w:sz w:val="20"/>
              </w:rPr>
              <w:t xml:space="preserve">до 31 августа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72"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31.</w:t>
            </w:r>
          </w:p>
        </w:tc>
        <w:tc>
          <w:tcPr>
            <w:tcW w:w="3402" w:type="dxa"/>
          </w:tcPr>
          <w:p>
            <w:pPr>
              <w:pStyle w:val="0"/>
            </w:pPr>
            <w:r>
              <w:rPr>
                <w:sz w:val="20"/>
              </w:rPr>
              <w:t xml:space="preserve">Интерактивный проект "Ма ай мирием - Мой маленький народ"</w:t>
            </w:r>
          </w:p>
        </w:tc>
        <w:tc>
          <w:tcPr>
            <w:tcW w:w="2041" w:type="dxa"/>
          </w:tcPr>
          <w:p>
            <w:pPr>
              <w:pStyle w:val="0"/>
            </w:pPr>
            <w:r>
              <w:rPr>
                <w:sz w:val="20"/>
              </w:rPr>
              <w:t xml:space="preserve">до 31 августа 2022 года</w:t>
            </w:r>
          </w:p>
        </w:tc>
        <w:tc>
          <w:tcPr>
            <w:tcW w:w="3175" w:type="dxa"/>
          </w:tcPr>
          <w:p>
            <w:pPr>
              <w:pStyle w:val="0"/>
            </w:pPr>
            <w:r>
              <w:rPr>
                <w:sz w:val="20"/>
              </w:rPr>
              <w:t xml:space="preserve">Депкультуры Югры</w:t>
            </w:r>
          </w:p>
        </w:tc>
        <w:tc>
          <w:tcPr>
            <w:tcW w:w="3288" w:type="dxa"/>
          </w:tcPr>
          <w:p>
            <w:pPr>
              <w:pStyle w:val="0"/>
            </w:pPr>
            <w:hyperlink w:history="0" r:id="rId37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32.</w:t>
            </w:r>
          </w:p>
        </w:tc>
        <w:tc>
          <w:tcPr>
            <w:tcW w:w="3402" w:type="dxa"/>
          </w:tcPr>
          <w:p>
            <w:pPr>
              <w:pStyle w:val="0"/>
            </w:pPr>
            <w:r>
              <w:rPr>
                <w:sz w:val="20"/>
              </w:rPr>
              <w:t xml:space="preserve">Окружной конкурс "Семья мастеровая"</w:t>
            </w:r>
          </w:p>
        </w:tc>
        <w:tc>
          <w:tcPr>
            <w:tcW w:w="2041" w:type="dxa"/>
          </w:tcPr>
          <w:p>
            <w:pPr>
              <w:pStyle w:val="0"/>
            </w:pPr>
            <w:r>
              <w:rPr>
                <w:sz w:val="20"/>
              </w:rPr>
              <w:t xml:space="preserve">до 30 сентября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7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33.</w:t>
            </w:r>
          </w:p>
        </w:tc>
        <w:tc>
          <w:tcPr>
            <w:tcW w:w="3402" w:type="dxa"/>
          </w:tcPr>
          <w:p>
            <w:pPr>
              <w:pStyle w:val="0"/>
            </w:pPr>
            <w:r>
              <w:rPr>
                <w:sz w:val="20"/>
              </w:rPr>
              <w:t xml:space="preserve">Международный фестиваль традиционной культуры финно-угорских народов "Живущие по солнцу"</w:t>
            </w:r>
          </w:p>
        </w:tc>
        <w:tc>
          <w:tcPr>
            <w:tcW w:w="2041" w:type="dxa"/>
          </w:tcPr>
          <w:p>
            <w:pPr>
              <w:pStyle w:val="0"/>
            </w:pPr>
            <w:r>
              <w:rPr>
                <w:sz w:val="20"/>
              </w:rPr>
              <w:t xml:space="preserve">до 30 сентября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7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34.</w:t>
            </w:r>
          </w:p>
        </w:tc>
        <w:tc>
          <w:tcPr>
            <w:tcW w:w="3402" w:type="dxa"/>
          </w:tcPr>
          <w:p>
            <w:pPr>
              <w:pStyle w:val="0"/>
            </w:pPr>
            <w:r>
              <w:rPr>
                <w:sz w:val="20"/>
              </w:rPr>
              <w:t xml:space="preserve">Международная конференция, посвященная культуре автономного округа с древнейших времен до современности</w:t>
            </w:r>
          </w:p>
        </w:tc>
        <w:tc>
          <w:tcPr>
            <w:tcW w:w="2041" w:type="dxa"/>
          </w:tcPr>
          <w:p>
            <w:pPr>
              <w:pStyle w:val="0"/>
            </w:pPr>
            <w:r>
              <w:rPr>
                <w:sz w:val="20"/>
              </w:rPr>
              <w:t xml:space="preserve">до 30 сентября 2022 года</w:t>
            </w:r>
          </w:p>
        </w:tc>
        <w:tc>
          <w:tcPr>
            <w:tcW w:w="3175" w:type="dxa"/>
          </w:tcPr>
          <w:p>
            <w:pPr>
              <w:pStyle w:val="0"/>
            </w:pPr>
            <w:r>
              <w:rPr>
                <w:sz w:val="20"/>
              </w:rPr>
              <w:t xml:space="preserve">Депобщественных и внешних связей Югры</w:t>
            </w:r>
          </w:p>
        </w:tc>
        <w:tc>
          <w:tcPr>
            <w:tcW w:w="3288" w:type="dxa"/>
          </w:tcPr>
          <w:p>
            <w:pPr>
              <w:pStyle w:val="0"/>
            </w:pPr>
            <w:hyperlink w:history="0" r:id="rId376"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Программа</w:t>
              </w:r>
            </w:hyperlink>
            <w:r>
              <w:rPr>
                <w:sz w:val="20"/>
              </w:rPr>
              <w:t xml:space="preserve"> "Развитие гражданского общества"</w:t>
            </w:r>
          </w:p>
        </w:tc>
      </w:tr>
      <w:tr>
        <w:tc>
          <w:tcPr>
            <w:tcW w:w="454" w:type="dxa"/>
          </w:tcPr>
          <w:p>
            <w:pPr>
              <w:pStyle w:val="0"/>
            </w:pPr>
            <w:r>
              <w:rPr>
                <w:sz w:val="20"/>
              </w:rPr>
              <w:t xml:space="preserve">35.</w:t>
            </w:r>
          </w:p>
        </w:tc>
        <w:tc>
          <w:tcPr>
            <w:tcW w:w="3402" w:type="dxa"/>
          </w:tcPr>
          <w:p>
            <w:pPr>
              <w:pStyle w:val="0"/>
            </w:pPr>
            <w:r>
              <w:rPr>
                <w:sz w:val="20"/>
              </w:rPr>
              <w:t xml:space="preserve">Всероссийский форум по вопросам сохранения индустриального наследия России</w:t>
            </w:r>
          </w:p>
        </w:tc>
        <w:tc>
          <w:tcPr>
            <w:tcW w:w="2041" w:type="dxa"/>
          </w:tcPr>
          <w:p>
            <w:pPr>
              <w:pStyle w:val="0"/>
            </w:pPr>
            <w:r>
              <w:rPr>
                <w:sz w:val="20"/>
              </w:rPr>
              <w:t xml:space="preserve">до 30 октября 2022 года</w:t>
            </w:r>
          </w:p>
        </w:tc>
        <w:tc>
          <w:tcPr>
            <w:tcW w:w="3175" w:type="dxa"/>
          </w:tcPr>
          <w:p>
            <w:pPr>
              <w:pStyle w:val="0"/>
            </w:pPr>
            <w:r>
              <w:rPr>
                <w:sz w:val="20"/>
              </w:rPr>
              <w:t xml:space="preserve">Депкультуры Югры</w:t>
            </w:r>
          </w:p>
        </w:tc>
        <w:tc>
          <w:tcPr>
            <w:tcW w:w="3288" w:type="dxa"/>
          </w:tcPr>
          <w:p>
            <w:pPr>
              <w:pStyle w:val="0"/>
            </w:pPr>
            <w:hyperlink w:history="0" r:id="rId37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36.</w:t>
            </w:r>
          </w:p>
        </w:tc>
        <w:tc>
          <w:tcPr>
            <w:tcW w:w="3402" w:type="dxa"/>
          </w:tcPr>
          <w:p>
            <w:pPr>
              <w:pStyle w:val="0"/>
            </w:pPr>
            <w:r>
              <w:rPr>
                <w:sz w:val="20"/>
              </w:rPr>
              <w:t xml:space="preserve">Межрегиональная акция "Знакомство с финно-угорским фольклором"</w:t>
            </w:r>
          </w:p>
        </w:tc>
        <w:tc>
          <w:tcPr>
            <w:tcW w:w="2041" w:type="dxa"/>
          </w:tcPr>
          <w:p>
            <w:pPr>
              <w:pStyle w:val="0"/>
            </w:pPr>
            <w:r>
              <w:rPr>
                <w:sz w:val="20"/>
              </w:rPr>
              <w:t xml:space="preserve">до 30 октября 2022 года</w:t>
            </w:r>
          </w:p>
        </w:tc>
        <w:tc>
          <w:tcPr>
            <w:tcW w:w="3175" w:type="dxa"/>
          </w:tcPr>
          <w:p>
            <w:pPr>
              <w:pStyle w:val="0"/>
            </w:pPr>
            <w:r>
              <w:rPr>
                <w:sz w:val="20"/>
              </w:rPr>
              <w:t xml:space="preserve">Депкультуры Югры</w:t>
            </w:r>
          </w:p>
        </w:tc>
        <w:tc>
          <w:tcPr>
            <w:tcW w:w="3288" w:type="dxa"/>
          </w:tcPr>
          <w:p>
            <w:pPr>
              <w:pStyle w:val="0"/>
            </w:pPr>
            <w:hyperlink w:history="0" r:id="rId37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37.</w:t>
            </w:r>
          </w:p>
        </w:tc>
        <w:tc>
          <w:tcPr>
            <w:tcW w:w="3402" w:type="dxa"/>
          </w:tcPr>
          <w:p>
            <w:pPr>
              <w:pStyle w:val="0"/>
            </w:pPr>
            <w:r>
              <w:rPr>
                <w:sz w:val="20"/>
              </w:rPr>
              <w:t xml:space="preserve">III Международная научная конференция "Сибирские угры в ожерелье субарктических культур: общее и неповторимое"</w:t>
            </w:r>
          </w:p>
        </w:tc>
        <w:tc>
          <w:tcPr>
            <w:tcW w:w="2041" w:type="dxa"/>
          </w:tcPr>
          <w:p>
            <w:pPr>
              <w:pStyle w:val="0"/>
            </w:pPr>
            <w:r>
              <w:rPr>
                <w:sz w:val="20"/>
              </w:rPr>
              <w:t xml:space="preserve">до 30 октября 2022 года</w:t>
            </w:r>
          </w:p>
        </w:tc>
        <w:tc>
          <w:tcPr>
            <w:tcW w:w="3175" w:type="dxa"/>
          </w:tcPr>
          <w:p>
            <w:pPr>
              <w:pStyle w:val="0"/>
            </w:pPr>
            <w:r>
              <w:rPr>
                <w:sz w:val="20"/>
              </w:rPr>
              <w:t xml:space="preserve">Депкультуры Югры</w:t>
            </w:r>
          </w:p>
        </w:tc>
        <w:tc>
          <w:tcPr>
            <w:tcW w:w="3288" w:type="dxa"/>
          </w:tcPr>
          <w:p>
            <w:pPr>
              <w:pStyle w:val="0"/>
            </w:pPr>
            <w:hyperlink w:history="0" r:id="rId37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38.</w:t>
            </w:r>
          </w:p>
        </w:tc>
        <w:tc>
          <w:tcPr>
            <w:tcW w:w="3402" w:type="dxa"/>
          </w:tcPr>
          <w:p>
            <w:pPr>
              <w:pStyle w:val="0"/>
            </w:pPr>
            <w:r>
              <w:rPr>
                <w:sz w:val="20"/>
              </w:rPr>
              <w:t xml:space="preserve">Концертная программа "Споем, подружки!"</w:t>
            </w:r>
          </w:p>
        </w:tc>
        <w:tc>
          <w:tcPr>
            <w:tcW w:w="2041" w:type="dxa"/>
          </w:tcPr>
          <w:p>
            <w:pPr>
              <w:pStyle w:val="0"/>
            </w:pPr>
            <w:r>
              <w:rPr>
                <w:sz w:val="20"/>
              </w:rPr>
              <w:t xml:space="preserve">до 30 октября 2022 года</w:t>
            </w:r>
          </w:p>
        </w:tc>
        <w:tc>
          <w:tcPr>
            <w:tcW w:w="3175" w:type="dxa"/>
          </w:tcPr>
          <w:p>
            <w:pPr>
              <w:pStyle w:val="0"/>
            </w:pPr>
            <w:r>
              <w:rPr>
                <w:sz w:val="20"/>
              </w:rPr>
              <w:t xml:space="preserve">Депкультуры Югры</w:t>
            </w:r>
          </w:p>
        </w:tc>
        <w:tc>
          <w:tcPr>
            <w:tcW w:w="3288" w:type="dxa"/>
          </w:tcPr>
          <w:p>
            <w:pPr>
              <w:pStyle w:val="0"/>
            </w:pPr>
            <w:hyperlink w:history="0" r:id="rId38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39.</w:t>
            </w:r>
          </w:p>
        </w:tc>
        <w:tc>
          <w:tcPr>
            <w:tcW w:w="3402" w:type="dxa"/>
          </w:tcPr>
          <w:p>
            <w:pPr>
              <w:pStyle w:val="0"/>
            </w:pPr>
            <w:r>
              <w:rPr>
                <w:sz w:val="20"/>
              </w:rPr>
              <w:t xml:space="preserve">Акция "Семейный альбом многонациональной Югры"</w:t>
            </w:r>
          </w:p>
        </w:tc>
        <w:tc>
          <w:tcPr>
            <w:tcW w:w="2041" w:type="dxa"/>
          </w:tcPr>
          <w:p>
            <w:pPr>
              <w:pStyle w:val="0"/>
            </w:pPr>
            <w:r>
              <w:rPr>
                <w:sz w:val="20"/>
              </w:rPr>
              <w:t xml:space="preserve">до 30 октября 2022 года</w:t>
            </w:r>
          </w:p>
        </w:tc>
        <w:tc>
          <w:tcPr>
            <w:tcW w:w="3175" w:type="dxa"/>
          </w:tcPr>
          <w:p>
            <w:pPr>
              <w:pStyle w:val="0"/>
            </w:pPr>
            <w:r>
              <w:rPr>
                <w:sz w:val="20"/>
              </w:rPr>
              <w:t xml:space="preserve">Служба по делам архивов автономного округа (далее - Архивная служба Югры)</w:t>
            </w:r>
          </w:p>
        </w:tc>
        <w:tc>
          <w:tcPr>
            <w:tcW w:w="3288" w:type="dxa"/>
          </w:tcPr>
          <w:p>
            <w:pPr>
              <w:pStyle w:val="0"/>
            </w:pPr>
            <w:hyperlink w:history="0" r:id="rId381"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40.</w:t>
            </w:r>
          </w:p>
        </w:tc>
        <w:tc>
          <w:tcPr>
            <w:tcW w:w="3402" w:type="dxa"/>
          </w:tcPr>
          <w:p>
            <w:pPr>
              <w:pStyle w:val="0"/>
            </w:pPr>
            <w:r>
              <w:rPr>
                <w:sz w:val="20"/>
              </w:rPr>
              <w:t xml:space="preserve">Виртуальная выставка архивных документов "Народная мастерица" к 110-летию со дня рождения Т.С. Чучелиной, хантыйской сказительницы</w:t>
            </w:r>
          </w:p>
        </w:tc>
        <w:tc>
          <w:tcPr>
            <w:tcW w:w="2041" w:type="dxa"/>
          </w:tcPr>
          <w:p>
            <w:pPr>
              <w:pStyle w:val="0"/>
            </w:pPr>
            <w:r>
              <w:rPr>
                <w:sz w:val="20"/>
              </w:rPr>
              <w:t xml:space="preserve">до 30 октября 2022 года</w:t>
            </w:r>
          </w:p>
        </w:tc>
        <w:tc>
          <w:tcPr>
            <w:tcW w:w="3175" w:type="dxa"/>
          </w:tcPr>
          <w:p>
            <w:pPr>
              <w:pStyle w:val="0"/>
            </w:pPr>
            <w:r>
              <w:rPr>
                <w:sz w:val="20"/>
              </w:rPr>
              <w:t xml:space="preserve">Архивная служба Югры</w:t>
            </w:r>
          </w:p>
        </w:tc>
        <w:tc>
          <w:tcPr>
            <w:tcW w:w="3288" w:type="dxa"/>
          </w:tcPr>
          <w:p>
            <w:pPr>
              <w:pStyle w:val="0"/>
            </w:pPr>
            <w:hyperlink w:history="0" r:id="rId382"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41.</w:t>
            </w:r>
          </w:p>
        </w:tc>
        <w:tc>
          <w:tcPr>
            <w:tcW w:w="3402" w:type="dxa"/>
          </w:tcPr>
          <w:p>
            <w:pPr>
              <w:pStyle w:val="0"/>
            </w:pPr>
            <w:r>
              <w:rPr>
                <w:sz w:val="20"/>
              </w:rPr>
              <w:t xml:space="preserve">Историко-документальная выставка архивных документов о деятельности национальных учреждений культуры автономного округа и встреча с представителями общественности</w:t>
            </w:r>
          </w:p>
        </w:tc>
        <w:tc>
          <w:tcPr>
            <w:tcW w:w="2041" w:type="dxa"/>
          </w:tcPr>
          <w:p>
            <w:pPr>
              <w:pStyle w:val="0"/>
            </w:pPr>
            <w:r>
              <w:rPr>
                <w:sz w:val="20"/>
              </w:rPr>
              <w:t xml:space="preserve">до 30 октября 2022 года</w:t>
            </w:r>
          </w:p>
        </w:tc>
        <w:tc>
          <w:tcPr>
            <w:tcW w:w="3175" w:type="dxa"/>
          </w:tcPr>
          <w:p>
            <w:pPr>
              <w:pStyle w:val="0"/>
            </w:pPr>
            <w:r>
              <w:rPr>
                <w:sz w:val="20"/>
              </w:rPr>
              <w:t xml:space="preserve">Архивная служба Югры</w:t>
            </w:r>
          </w:p>
        </w:tc>
        <w:tc>
          <w:tcPr>
            <w:tcW w:w="3288" w:type="dxa"/>
          </w:tcPr>
          <w:p>
            <w:pPr>
              <w:pStyle w:val="0"/>
            </w:pPr>
            <w:hyperlink w:history="0" r:id="rId38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42.</w:t>
            </w:r>
          </w:p>
        </w:tc>
        <w:tc>
          <w:tcPr>
            <w:tcW w:w="3402" w:type="dxa"/>
          </w:tcPr>
          <w:p>
            <w:pPr>
              <w:pStyle w:val="0"/>
            </w:pPr>
            <w:r>
              <w:rPr>
                <w:sz w:val="20"/>
              </w:rPr>
              <w:t xml:space="preserve">Культурно-просветительский проект "Этноигротека"</w:t>
            </w:r>
          </w:p>
        </w:tc>
        <w:tc>
          <w:tcPr>
            <w:tcW w:w="2041" w:type="dxa"/>
          </w:tcPr>
          <w:p>
            <w:pPr>
              <w:pStyle w:val="0"/>
            </w:pPr>
            <w:r>
              <w:rPr>
                <w:sz w:val="20"/>
              </w:rPr>
              <w:t xml:space="preserve">до 30 октября 2022 года</w:t>
            </w:r>
          </w:p>
        </w:tc>
        <w:tc>
          <w:tcPr>
            <w:tcW w:w="3175" w:type="dxa"/>
          </w:tcPr>
          <w:p>
            <w:pPr>
              <w:pStyle w:val="0"/>
            </w:pPr>
            <w:r>
              <w:rPr>
                <w:sz w:val="20"/>
              </w:rPr>
              <w:t xml:space="preserve">Депобразования и молодежи Югры</w:t>
            </w:r>
          </w:p>
        </w:tc>
        <w:tc>
          <w:tcPr>
            <w:tcW w:w="3288" w:type="dxa"/>
          </w:tcPr>
          <w:p>
            <w:pPr>
              <w:pStyle w:val="0"/>
            </w:pPr>
            <w:hyperlink w:history="0" r:id="rId384"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Программа</w:t>
              </w:r>
            </w:hyperlink>
            <w:r>
              <w:rPr>
                <w:sz w:val="20"/>
              </w:rPr>
              <w:t xml:space="preserve"> "Развитие образования"</w:t>
            </w:r>
          </w:p>
        </w:tc>
      </w:tr>
      <w:tr>
        <w:tc>
          <w:tcPr>
            <w:tcW w:w="454" w:type="dxa"/>
          </w:tcPr>
          <w:p>
            <w:pPr>
              <w:pStyle w:val="0"/>
            </w:pPr>
            <w:r>
              <w:rPr>
                <w:sz w:val="20"/>
              </w:rPr>
              <w:t xml:space="preserve">43.</w:t>
            </w:r>
          </w:p>
        </w:tc>
        <w:tc>
          <w:tcPr>
            <w:tcW w:w="3402" w:type="dxa"/>
          </w:tcPr>
          <w:p>
            <w:pPr>
              <w:pStyle w:val="0"/>
            </w:pPr>
            <w:r>
              <w:rPr>
                <w:sz w:val="20"/>
              </w:rPr>
              <w:t xml:space="preserve">Проект "Неделя русского языка" в странах Европы и СНГ</w:t>
            </w:r>
          </w:p>
        </w:tc>
        <w:tc>
          <w:tcPr>
            <w:tcW w:w="2041" w:type="dxa"/>
          </w:tcPr>
          <w:p>
            <w:pPr>
              <w:pStyle w:val="0"/>
            </w:pPr>
            <w:r>
              <w:rPr>
                <w:sz w:val="20"/>
              </w:rPr>
              <w:t xml:space="preserve">до 30 октября 2022 года</w:t>
            </w:r>
          </w:p>
        </w:tc>
        <w:tc>
          <w:tcPr>
            <w:tcW w:w="3175" w:type="dxa"/>
          </w:tcPr>
          <w:p>
            <w:pPr>
              <w:pStyle w:val="0"/>
            </w:pPr>
            <w:r>
              <w:rPr>
                <w:sz w:val="20"/>
              </w:rPr>
              <w:t xml:space="preserve">Депобщественных и внешних связей Югры</w:t>
            </w:r>
          </w:p>
        </w:tc>
        <w:tc>
          <w:tcPr>
            <w:tcW w:w="3288" w:type="dxa"/>
          </w:tcPr>
          <w:p>
            <w:pPr>
              <w:pStyle w:val="0"/>
            </w:pPr>
            <w:hyperlink w:history="0" r:id="rId385"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Программа</w:t>
              </w:r>
            </w:hyperlink>
            <w:r>
              <w:rPr>
                <w:sz w:val="20"/>
              </w:rPr>
              <w:t xml:space="preserve"> "Развитие гражданского общества"</w:t>
            </w:r>
          </w:p>
        </w:tc>
      </w:tr>
      <w:tr>
        <w:tc>
          <w:tcPr>
            <w:tcW w:w="454" w:type="dxa"/>
          </w:tcPr>
          <w:p>
            <w:pPr>
              <w:pStyle w:val="0"/>
            </w:pPr>
            <w:r>
              <w:rPr>
                <w:sz w:val="20"/>
              </w:rPr>
              <w:t xml:space="preserve">44.</w:t>
            </w:r>
          </w:p>
        </w:tc>
        <w:tc>
          <w:tcPr>
            <w:tcW w:w="3402" w:type="dxa"/>
          </w:tcPr>
          <w:p>
            <w:pPr>
              <w:pStyle w:val="0"/>
            </w:pPr>
            <w:r>
              <w:rPr>
                <w:sz w:val="20"/>
              </w:rPr>
              <w:t xml:space="preserve">Арт-резиденция "Ремесло. Югра. Дизайн"</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86"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45.</w:t>
            </w:r>
          </w:p>
        </w:tc>
        <w:tc>
          <w:tcPr>
            <w:tcW w:w="3402" w:type="dxa"/>
          </w:tcPr>
          <w:p>
            <w:pPr>
              <w:pStyle w:val="0"/>
            </w:pPr>
            <w:r>
              <w:rPr>
                <w:sz w:val="20"/>
              </w:rPr>
              <w:t xml:space="preserve">Окружной конкурс профессионального мастерства "Мастер года"</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8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46.</w:t>
            </w:r>
          </w:p>
        </w:tc>
        <w:tc>
          <w:tcPr>
            <w:tcW w:w="3402" w:type="dxa"/>
          </w:tcPr>
          <w:p>
            <w:pPr>
              <w:pStyle w:val="0"/>
            </w:pPr>
            <w:r>
              <w:rPr>
                <w:sz w:val="20"/>
              </w:rPr>
              <w:t xml:space="preserve">IV Международный конгресс традиционной художественной культуры: фундаментальные исследования народного искусства</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8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47.</w:t>
            </w:r>
          </w:p>
        </w:tc>
        <w:tc>
          <w:tcPr>
            <w:tcW w:w="3402" w:type="dxa"/>
          </w:tcPr>
          <w:p>
            <w:pPr>
              <w:pStyle w:val="0"/>
            </w:pPr>
            <w:r>
              <w:rPr>
                <w:sz w:val="20"/>
              </w:rPr>
              <w:t xml:space="preserve">Цикл мероприятий "Знакомство с искусством народов России"</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w:t>
            </w:r>
          </w:p>
        </w:tc>
        <w:tc>
          <w:tcPr>
            <w:tcW w:w="3288" w:type="dxa"/>
          </w:tcPr>
          <w:p>
            <w:pPr>
              <w:pStyle w:val="0"/>
            </w:pPr>
            <w:hyperlink w:history="0" r:id="rId38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48.</w:t>
            </w:r>
          </w:p>
        </w:tc>
        <w:tc>
          <w:tcPr>
            <w:tcW w:w="3402" w:type="dxa"/>
          </w:tcPr>
          <w:p>
            <w:pPr>
              <w:pStyle w:val="0"/>
            </w:pPr>
            <w:r>
              <w:rPr>
                <w:sz w:val="20"/>
              </w:rPr>
              <w:t xml:space="preserve">Окружной онлайн-фестиваль "Разноцветье самоцветов"</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9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49.</w:t>
            </w:r>
          </w:p>
        </w:tc>
        <w:tc>
          <w:tcPr>
            <w:tcW w:w="3402" w:type="dxa"/>
          </w:tcPr>
          <w:p>
            <w:pPr>
              <w:pStyle w:val="0"/>
            </w:pPr>
            <w:r>
              <w:rPr>
                <w:sz w:val="20"/>
              </w:rPr>
              <w:t xml:space="preserve">Межрегиональный молодежный конкурс литературных и рисованных историй "Бумажная сова": Искусство в кадре"</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w:t>
            </w:r>
          </w:p>
        </w:tc>
        <w:tc>
          <w:tcPr>
            <w:tcW w:w="3288" w:type="dxa"/>
          </w:tcPr>
          <w:p>
            <w:pPr>
              <w:pStyle w:val="0"/>
            </w:pPr>
            <w:hyperlink w:history="0" r:id="rId391"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50.</w:t>
            </w:r>
          </w:p>
        </w:tc>
        <w:tc>
          <w:tcPr>
            <w:tcW w:w="3402" w:type="dxa"/>
          </w:tcPr>
          <w:p>
            <w:pPr>
              <w:pStyle w:val="0"/>
            </w:pPr>
            <w:r>
              <w:rPr>
                <w:sz w:val="20"/>
              </w:rPr>
              <w:t xml:space="preserve">Творческий проект "Лаборатория игры и игрушки"</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w:t>
            </w:r>
          </w:p>
        </w:tc>
        <w:tc>
          <w:tcPr>
            <w:tcW w:w="3288" w:type="dxa"/>
          </w:tcPr>
          <w:p>
            <w:pPr>
              <w:pStyle w:val="0"/>
            </w:pPr>
            <w:hyperlink w:history="0" r:id="rId392"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51.</w:t>
            </w:r>
          </w:p>
        </w:tc>
        <w:tc>
          <w:tcPr>
            <w:tcW w:w="3402" w:type="dxa"/>
          </w:tcPr>
          <w:p>
            <w:pPr>
              <w:pStyle w:val="0"/>
            </w:pPr>
            <w:r>
              <w:rPr>
                <w:sz w:val="20"/>
              </w:rPr>
              <w:t xml:space="preserve">Практический семинар "Медвежьи игрища"</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9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52.</w:t>
            </w:r>
          </w:p>
        </w:tc>
        <w:tc>
          <w:tcPr>
            <w:tcW w:w="3402" w:type="dxa"/>
          </w:tcPr>
          <w:p>
            <w:pPr>
              <w:pStyle w:val="0"/>
            </w:pPr>
            <w:r>
              <w:rPr>
                <w:sz w:val="20"/>
              </w:rPr>
              <w:t xml:space="preserve">Концертная программа "Россия, ты песня моя!", посвященная Дню народного единства</w:t>
            </w:r>
          </w:p>
        </w:tc>
        <w:tc>
          <w:tcPr>
            <w:tcW w:w="2041" w:type="dxa"/>
          </w:tcPr>
          <w:p>
            <w:pPr>
              <w:pStyle w:val="0"/>
            </w:pPr>
            <w:r>
              <w:rPr>
                <w:sz w:val="20"/>
              </w:rPr>
              <w:t xml:space="preserve">до 30 ноября 2022 года</w:t>
            </w:r>
          </w:p>
        </w:tc>
        <w:tc>
          <w:tcPr>
            <w:tcW w:w="3175" w:type="dxa"/>
          </w:tcPr>
          <w:p>
            <w:pPr>
              <w:pStyle w:val="0"/>
            </w:pPr>
            <w:r>
              <w:rPr>
                <w:sz w:val="20"/>
              </w:rPr>
              <w:t xml:space="preserve">Депкультуры Югры</w:t>
            </w:r>
          </w:p>
        </w:tc>
        <w:tc>
          <w:tcPr>
            <w:tcW w:w="3288" w:type="dxa"/>
          </w:tcPr>
          <w:p>
            <w:pPr>
              <w:pStyle w:val="0"/>
            </w:pPr>
            <w:hyperlink w:history="0" r:id="rId39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53.</w:t>
            </w:r>
          </w:p>
        </w:tc>
        <w:tc>
          <w:tcPr>
            <w:tcW w:w="3402" w:type="dxa"/>
          </w:tcPr>
          <w:p>
            <w:pPr>
              <w:pStyle w:val="0"/>
            </w:pPr>
            <w:r>
              <w:rPr>
                <w:sz w:val="20"/>
              </w:rPr>
              <w:t xml:space="preserve">IV Окружные родословные чтения "Память будущих поколений"</w:t>
            </w:r>
          </w:p>
        </w:tc>
        <w:tc>
          <w:tcPr>
            <w:tcW w:w="2041" w:type="dxa"/>
          </w:tcPr>
          <w:p>
            <w:pPr>
              <w:pStyle w:val="0"/>
            </w:pPr>
            <w:r>
              <w:rPr>
                <w:sz w:val="20"/>
              </w:rPr>
              <w:t xml:space="preserve">до 30 ноября 2022 года</w:t>
            </w:r>
          </w:p>
        </w:tc>
        <w:tc>
          <w:tcPr>
            <w:tcW w:w="3175" w:type="dxa"/>
          </w:tcPr>
          <w:p>
            <w:pPr>
              <w:pStyle w:val="0"/>
            </w:pPr>
            <w:r>
              <w:rPr>
                <w:sz w:val="20"/>
              </w:rPr>
              <w:t xml:space="preserve">Архивная служба Югры</w:t>
            </w:r>
          </w:p>
        </w:tc>
        <w:tc>
          <w:tcPr>
            <w:tcW w:w="3288" w:type="dxa"/>
          </w:tcPr>
          <w:p>
            <w:pPr>
              <w:pStyle w:val="0"/>
            </w:pPr>
            <w:hyperlink w:history="0" r:id="rId39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54.</w:t>
            </w:r>
          </w:p>
        </w:tc>
        <w:tc>
          <w:tcPr>
            <w:tcW w:w="3402" w:type="dxa"/>
          </w:tcPr>
          <w:p>
            <w:pPr>
              <w:pStyle w:val="0"/>
            </w:pPr>
            <w:r>
              <w:rPr>
                <w:sz w:val="20"/>
              </w:rPr>
              <w:t xml:space="preserve">Показ спектаклей, приуроченных к Году культурного наследия народов России</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w:t>
            </w:r>
          </w:p>
        </w:tc>
        <w:tc>
          <w:tcPr>
            <w:tcW w:w="3288" w:type="dxa"/>
          </w:tcPr>
          <w:p>
            <w:pPr>
              <w:pStyle w:val="0"/>
            </w:pPr>
            <w:hyperlink w:history="0" r:id="rId396"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55.</w:t>
            </w:r>
          </w:p>
        </w:tc>
        <w:tc>
          <w:tcPr>
            <w:tcW w:w="3402" w:type="dxa"/>
          </w:tcPr>
          <w:p>
            <w:pPr>
              <w:pStyle w:val="0"/>
            </w:pPr>
            <w:r>
              <w:rPr>
                <w:sz w:val="20"/>
              </w:rPr>
              <w:t xml:space="preserve">Мастер-классы, экскурсионные программы, посвященные проведению в автономном округе Года культурного наследия народов России</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9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56.</w:t>
            </w:r>
          </w:p>
        </w:tc>
        <w:tc>
          <w:tcPr>
            <w:tcW w:w="3402" w:type="dxa"/>
          </w:tcPr>
          <w:p>
            <w:pPr>
              <w:pStyle w:val="0"/>
            </w:pPr>
            <w:r>
              <w:rPr>
                <w:sz w:val="20"/>
              </w:rPr>
              <w:t xml:space="preserve">Форум мастеров народного искусства</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39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57.</w:t>
            </w:r>
          </w:p>
        </w:tc>
        <w:tc>
          <w:tcPr>
            <w:tcW w:w="3402" w:type="dxa"/>
          </w:tcPr>
          <w:p>
            <w:pPr>
              <w:pStyle w:val="0"/>
            </w:pPr>
            <w:r>
              <w:rPr>
                <w:sz w:val="20"/>
              </w:rPr>
              <w:t xml:space="preserve">Премия Губернатора автономного округа мастерам народных художественных промыслов автономного округа</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w:t>
            </w:r>
          </w:p>
        </w:tc>
        <w:tc>
          <w:tcPr>
            <w:tcW w:w="3288" w:type="dxa"/>
          </w:tcPr>
          <w:p>
            <w:pPr>
              <w:pStyle w:val="0"/>
            </w:pPr>
            <w:hyperlink w:history="0" r:id="rId39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58.</w:t>
            </w:r>
          </w:p>
        </w:tc>
        <w:tc>
          <w:tcPr>
            <w:tcW w:w="3402" w:type="dxa"/>
          </w:tcPr>
          <w:p>
            <w:pPr>
              <w:pStyle w:val="0"/>
            </w:pPr>
            <w:r>
              <w:rPr>
                <w:sz w:val="20"/>
              </w:rPr>
              <w:t xml:space="preserve">Цикл мероприятий "История традиций народов России"</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w:t>
            </w:r>
          </w:p>
        </w:tc>
        <w:tc>
          <w:tcPr>
            <w:tcW w:w="3288" w:type="dxa"/>
          </w:tcPr>
          <w:p>
            <w:pPr>
              <w:pStyle w:val="0"/>
            </w:pPr>
            <w:hyperlink w:history="0" r:id="rId400"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59.</w:t>
            </w:r>
          </w:p>
        </w:tc>
        <w:tc>
          <w:tcPr>
            <w:tcW w:w="3402" w:type="dxa"/>
          </w:tcPr>
          <w:p>
            <w:pPr>
              <w:pStyle w:val="0"/>
            </w:pPr>
            <w:r>
              <w:rPr>
                <w:sz w:val="20"/>
              </w:rPr>
              <w:t xml:space="preserve">Цикл классных часов по истории народного искусства для детей</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401"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60.</w:t>
            </w:r>
          </w:p>
        </w:tc>
        <w:tc>
          <w:tcPr>
            <w:tcW w:w="3402" w:type="dxa"/>
          </w:tcPr>
          <w:p>
            <w:pPr>
              <w:pStyle w:val="0"/>
            </w:pPr>
            <w:r>
              <w:rPr>
                <w:sz w:val="20"/>
              </w:rPr>
              <w:t xml:space="preserve">Межрегиональный проект "Путешествуем по региональным центрам Президентской библиотеки России"</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w:t>
            </w:r>
          </w:p>
        </w:tc>
        <w:tc>
          <w:tcPr>
            <w:tcW w:w="3288" w:type="dxa"/>
          </w:tcPr>
          <w:p>
            <w:pPr>
              <w:pStyle w:val="0"/>
            </w:pPr>
            <w:hyperlink w:history="0" r:id="rId402"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61.</w:t>
            </w:r>
          </w:p>
        </w:tc>
        <w:tc>
          <w:tcPr>
            <w:tcW w:w="3402" w:type="dxa"/>
          </w:tcPr>
          <w:p>
            <w:pPr>
              <w:pStyle w:val="0"/>
            </w:pPr>
            <w:r>
              <w:rPr>
                <w:sz w:val="20"/>
              </w:rPr>
              <w:t xml:space="preserve">Проект "Знакомство с культурой русских на основе коллекции Музея Природы и Человека"</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w:t>
            </w:r>
          </w:p>
        </w:tc>
        <w:tc>
          <w:tcPr>
            <w:tcW w:w="3288" w:type="dxa"/>
          </w:tcPr>
          <w:p>
            <w:pPr>
              <w:pStyle w:val="0"/>
            </w:pPr>
            <w:hyperlink w:history="0" r:id="rId403"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62.</w:t>
            </w:r>
          </w:p>
        </w:tc>
        <w:tc>
          <w:tcPr>
            <w:tcW w:w="3402" w:type="dxa"/>
          </w:tcPr>
          <w:p>
            <w:pPr>
              <w:pStyle w:val="0"/>
            </w:pPr>
            <w:r>
              <w:rPr>
                <w:sz w:val="20"/>
              </w:rPr>
              <w:t xml:space="preserve">Интерактивный проект "Музей живой культуры"</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w:t>
            </w:r>
          </w:p>
        </w:tc>
        <w:tc>
          <w:tcPr>
            <w:tcW w:w="3288" w:type="dxa"/>
          </w:tcPr>
          <w:p>
            <w:pPr>
              <w:pStyle w:val="0"/>
            </w:pPr>
            <w:r>
              <w:rPr>
                <w:sz w:val="20"/>
              </w:rPr>
              <w:t xml:space="preserve">Государственная </w:t>
            </w:r>
            <w:hyperlink w:history="0" r:id="rId404" w:tooltip="Постановление Правительства ХМАО - Югры от 31.10.2021 N 478-п (ред. от 13.10.2023) &quot;О государственной программе Ханты-Мансийского автономного округа - Югры &quot;Устойчивое развитие коренных малочисленных народов Севера&quot; {КонсультантПлюс}">
              <w:r>
                <w:rPr>
                  <w:sz w:val="20"/>
                  <w:color w:val="0000ff"/>
                </w:rPr>
                <w:t xml:space="preserve">программа</w:t>
              </w:r>
            </w:hyperlink>
            <w:r>
              <w:rPr>
                <w:sz w:val="20"/>
              </w:rPr>
              <w:t xml:space="preserve"> "Устойчивое развитие коренных малочисленных народов Севера"</w:t>
            </w:r>
          </w:p>
        </w:tc>
      </w:tr>
      <w:tr>
        <w:tc>
          <w:tcPr>
            <w:tcW w:w="454" w:type="dxa"/>
          </w:tcPr>
          <w:p>
            <w:pPr>
              <w:pStyle w:val="0"/>
            </w:pPr>
            <w:r>
              <w:rPr>
                <w:sz w:val="20"/>
              </w:rPr>
              <w:t xml:space="preserve">63.</w:t>
            </w:r>
          </w:p>
        </w:tc>
        <w:tc>
          <w:tcPr>
            <w:tcW w:w="3402" w:type="dxa"/>
          </w:tcPr>
          <w:p>
            <w:pPr>
              <w:pStyle w:val="0"/>
            </w:pPr>
            <w:r>
              <w:rPr>
                <w:sz w:val="20"/>
              </w:rPr>
              <w:t xml:space="preserve">Международный фестиваль национальных культур "Возьмемся за руки, друзья!"</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40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64.</w:t>
            </w:r>
          </w:p>
        </w:tc>
        <w:tc>
          <w:tcPr>
            <w:tcW w:w="3402" w:type="dxa"/>
          </w:tcPr>
          <w:p>
            <w:pPr>
              <w:pStyle w:val="0"/>
            </w:pPr>
            <w:r>
              <w:rPr>
                <w:sz w:val="20"/>
              </w:rPr>
              <w:t xml:space="preserve">Окружной фестиваль достижений творческих коллективов "Югра Фестивальная", посвященный 65-летию Дома народного творчества автономного округа</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Депкультуры Югры, муниципальные образования автономного округа (по согласованию)</w:t>
            </w:r>
          </w:p>
        </w:tc>
        <w:tc>
          <w:tcPr>
            <w:tcW w:w="3288" w:type="dxa"/>
          </w:tcPr>
          <w:p>
            <w:pPr>
              <w:pStyle w:val="0"/>
            </w:pPr>
            <w:hyperlink w:history="0" r:id="rId406"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 бюджеты муниципальных образований автономного округа</w:t>
            </w:r>
          </w:p>
        </w:tc>
      </w:tr>
      <w:tr>
        <w:tc>
          <w:tcPr>
            <w:tcW w:w="454" w:type="dxa"/>
          </w:tcPr>
          <w:p>
            <w:pPr>
              <w:pStyle w:val="0"/>
            </w:pPr>
            <w:r>
              <w:rPr>
                <w:sz w:val="20"/>
              </w:rPr>
              <w:t xml:space="preserve">65.</w:t>
            </w:r>
          </w:p>
        </w:tc>
        <w:tc>
          <w:tcPr>
            <w:tcW w:w="3402" w:type="dxa"/>
          </w:tcPr>
          <w:p>
            <w:pPr>
              <w:pStyle w:val="0"/>
            </w:pPr>
            <w:r>
              <w:rPr>
                <w:sz w:val="20"/>
              </w:rPr>
              <w:t xml:space="preserve">Онлайн-проект "День в истории Татарстана и Югры"</w:t>
            </w:r>
          </w:p>
        </w:tc>
        <w:tc>
          <w:tcPr>
            <w:tcW w:w="2041" w:type="dxa"/>
          </w:tcPr>
          <w:p>
            <w:pPr>
              <w:pStyle w:val="0"/>
            </w:pPr>
            <w:r>
              <w:rPr>
                <w:sz w:val="20"/>
              </w:rPr>
              <w:t xml:space="preserve">до 31 декабря 2022 года</w:t>
            </w:r>
          </w:p>
        </w:tc>
        <w:tc>
          <w:tcPr>
            <w:tcW w:w="3175" w:type="dxa"/>
          </w:tcPr>
          <w:p>
            <w:pPr>
              <w:pStyle w:val="0"/>
            </w:pPr>
            <w:r>
              <w:rPr>
                <w:sz w:val="20"/>
              </w:rPr>
              <w:t xml:space="preserve">Архивная служба Югры</w:t>
            </w:r>
          </w:p>
        </w:tc>
        <w:tc>
          <w:tcPr>
            <w:tcW w:w="3288" w:type="dxa"/>
          </w:tcPr>
          <w:p>
            <w:pPr>
              <w:pStyle w:val="0"/>
            </w:pPr>
            <w:hyperlink w:history="0" r:id="rId40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66.</w:t>
            </w:r>
          </w:p>
        </w:tc>
        <w:tc>
          <w:tcPr>
            <w:tcW w:w="3402" w:type="dxa"/>
          </w:tcPr>
          <w:p>
            <w:pPr>
              <w:pStyle w:val="0"/>
            </w:pPr>
            <w:r>
              <w:rPr>
                <w:sz w:val="20"/>
              </w:rPr>
              <w:t xml:space="preserve">Виртуальная выставка архивных документов "Ювану Шесталову посвящается" к 85-летию со дня рождения Ю.Н. Шесталова, заслуженного деятеля культуры и почетного гражданина автономного округа</w:t>
            </w:r>
          </w:p>
        </w:tc>
        <w:tc>
          <w:tcPr>
            <w:tcW w:w="2041" w:type="dxa"/>
          </w:tcPr>
          <w:p>
            <w:pPr>
              <w:pStyle w:val="0"/>
            </w:pPr>
            <w:r>
              <w:rPr>
                <w:sz w:val="20"/>
              </w:rPr>
              <w:t xml:space="preserve">до 31 декабря 2022 года</w:t>
            </w:r>
          </w:p>
        </w:tc>
        <w:tc>
          <w:tcPr>
            <w:tcW w:w="3175" w:type="dxa"/>
          </w:tcPr>
          <w:p>
            <w:pPr>
              <w:pStyle w:val="0"/>
            </w:pPr>
            <w:r>
              <w:rPr>
                <w:sz w:val="20"/>
              </w:rPr>
              <w:t xml:space="preserve">Архивная служба Югры</w:t>
            </w:r>
          </w:p>
        </w:tc>
        <w:tc>
          <w:tcPr>
            <w:tcW w:w="3288" w:type="dxa"/>
          </w:tcPr>
          <w:p>
            <w:pPr>
              <w:pStyle w:val="0"/>
            </w:pPr>
            <w:hyperlink w:history="0" r:id="rId408"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67.</w:t>
            </w:r>
          </w:p>
        </w:tc>
        <w:tc>
          <w:tcPr>
            <w:tcW w:w="3402" w:type="dxa"/>
          </w:tcPr>
          <w:p>
            <w:pPr>
              <w:pStyle w:val="0"/>
            </w:pPr>
            <w:r>
              <w:rPr>
                <w:sz w:val="20"/>
              </w:rPr>
              <w:t xml:space="preserve">Выпуск издания "Ханты-Мансийский автономный округ в зеркале прошлого" (выпуск 20)</w:t>
            </w:r>
          </w:p>
        </w:tc>
        <w:tc>
          <w:tcPr>
            <w:tcW w:w="2041" w:type="dxa"/>
          </w:tcPr>
          <w:p>
            <w:pPr>
              <w:pStyle w:val="0"/>
            </w:pPr>
            <w:r>
              <w:rPr>
                <w:sz w:val="20"/>
              </w:rPr>
              <w:t xml:space="preserve">до 31 декабря 2022 года</w:t>
            </w:r>
          </w:p>
        </w:tc>
        <w:tc>
          <w:tcPr>
            <w:tcW w:w="3175" w:type="dxa"/>
          </w:tcPr>
          <w:p>
            <w:pPr>
              <w:pStyle w:val="0"/>
            </w:pPr>
            <w:r>
              <w:rPr>
                <w:sz w:val="20"/>
              </w:rPr>
              <w:t xml:space="preserve">Служба государственной охраны объектов культурного наследия автономного округа</w:t>
            </w:r>
          </w:p>
        </w:tc>
        <w:tc>
          <w:tcPr>
            <w:tcW w:w="3288" w:type="dxa"/>
          </w:tcPr>
          <w:p>
            <w:pPr>
              <w:pStyle w:val="0"/>
            </w:pPr>
            <w:hyperlink w:history="0" r:id="rId409"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Программа</w:t>
              </w:r>
            </w:hyperlink>
            <w:r>
              <w:rPr>
                <w:sz w:val="20"/>
              </w:rPr>
              <w:t xml:space="preserve"> "Культурное пространство"</w:t>
            </w:r>
          </w:p>
        </w:tc>
      </w:tr>
      <w:tr>
        <w:tc>
          <w:tcPr>
            <w:tcW w:w="454" w:type="dxa"/>
          </w:tcPr>
          <w:p>
            <w:pPr>
              <w:pStyle w:val="0"/>
            </w:pPr>
            <w:r>
              <w:rPr>
                <w:sz w:val="20"/>
              </w:rPr>
              <w:t xml:space="preserve">68.</w:t>
            </w:r>
          </w:p>
        </w:tc>
        <w:tc>
          <w:tcPr>
            <w:tcW w:w="3402" w:type="dxa"/>
          </w:tcPr>
          <w:p>
            <w:pPr>
              <w:pStyle w:val="0"/>
            </w:pPr>
            <w:r>
              <w:rPr>
                <w:sz w:val="20"/>
              </w:rPr>
              <w:t xml:space="preserve">Всероссийская научно-практическая конференция "Югорские чтения"</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Депобразования и молодежи Югры</w:t>
            </w:r>
          </w:p>
        </w:tc>
        <w:tc>
          <w:tcPr>
            <w:tcW w:w="3288" w:type="dxa"/>
          </w:tcPr>
          <w:p>
            <w:pPr>
              <w:pStyle w:val="0"/>
            </w:pPr>
            <w:hyperlink w:history="0" r:id="rId410"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Программа</w:t>
              </w:r>
            </w:hyperlink>
            <w:r>
              <w:rPr>
                <w:sz w:val="20"/>
              </w:rPr>
              <w:t xml:space="preserve"> "Развитие образования"</w:t>
            </w:r>
          </w:p>
        </w:tc>
      </w:tr>
      <w:tr>
        <w:tc>
          <w:tcPr>
            <w:tcW w:w="454" w:type="dxa"/>
          </w:tcPr>
          <w:p>
            <w:pPr>
              <w:pStyle w:val="0"/>
            </w:pPr>
            <w:r>
              <w:rPr>
                <w:sz w:val="20"/>
              </w:rPr>
              <w:t xml:space="preserve">69.</w:t>
            </w:r>
          </w:p>
        </w:tc>
        <w:tc>
          <w:tcPr>
            <w:tcW w:w="3402" w:type="dxa"/>
          </w:tcPr>
          <w:p>
            <w:pPr>
              <w:pStyle w:val="0"/>
            </w:pPr>
            <w:r>
              <w:rPr>
                <w:sz w:val="20"/>
              </w:rPr>
              <w:t xml:space="preserve">Викторины, выставки, круглые столы, конкурсы, приуроченные к Году культурного наследия народов России</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Депобразования и молодежи Югры, муниципальные образования автономного округа (по согласованию)</w:t>
            </w:r>
          </w:p>
        </w:tc>
        <w:tc>
          <w:tcPr>
            <w:tcW w:w="3288" w:type="dxa"/>
          </w:tcPr>
          <w:p>
            <w:pPr>
              <w:pStyle w:val="0"/>
            </w:pPr>
            <w:hyperlink w:history="0" r:id="rId411" w:tooltip="Постановление Правительства ХМАО - Югры от 31.10.2021 N 468-п (ред. от 13.10.2023) &quot;О государственной программе Ханты-Мансийского автономного округа - Югры &quot;Развитие образования&quot; {КонсультантПлюс}">
              <w:r>
                <w:rPr>
                  <w:sz w:val="20"/>
                  <w:color w:val="0000ff"/>
                </w:rPr>
                <w:t xml:space="preserve">Программа</w:t>
              </w:r>
            </w:hyperlink>
            <w:r>
              <w:rPr>
                <w:sz w:val="20"/>
              </w:rPr>
              <w:t xml:space="preserve"> "Развитие образования", бюджеты муниципальных образований автономного округа</w:t>
            </w:r>
          </w:p>
        </w:tc>
      </w:tr>
      <w:tr>
        <w:tc>
          <w:tcPr>
            <w:tcW w:w="454" w:type="dxa"/>
          </w:tcPr>
          <w:p>
            <w:pPr>
              <w:pStyle w:val="0"/>
            </w:pPr>
            <w:r>
              <w:rPr>
                <w:sz w:val="20"/>
              </w:rPr>
              <w:t xml:space="preserve">70.</w:t>
            </w:r>
          </w:p>
        </w:tc>
        <w:tc>
          <w:tcPr>
            <w:tcW w:w="3402" w:type="dxa"/>
          </w:tcPr>
          <w:p>
            <w:pPr>
              <w:pStyle w:val="0"/>
            </w:pPr>
            <w:r>
              <w:rPr>
                <w:sz w:val="20"/>
              </w:rPr>
              <w:t xml:space="preserve">Конкурс профессионального журналистского мастерства "Журналист года Югры"</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Депобщественных и внешних связей Югры</w:t>
            </w:r>
          </w:p>
        </w:tc>
        <w:tc>
          <w:tcPr>
            <w:tcW w:w="3288" w:type="dxa"/>
          </w:tcPr>
          <w:p>
            <w:pPr>
              <w:pStyle w:val="0"/>
            </w:pPr>
            <w:hyperlink w:history="0" r:id="rId412"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Программа</w:t>
              </w:r>
            </w:hyperlink>
            <w:r>
              <w:rPr>
                <w:sz w:val="20"/>
              </w:rPr>
              <w:t xml:space="preserve"> "Развитие гражданского общества"</w:t>
            </w:r>
          </w:p>
        </w:tc>
      </w:tr>
      <w:tr>
        <w:tc>
          <w:tcPr>
            <w:tcW w:w="454" w:type="dxa"/>
          </w:tcPr>
          <w:p>
            <w:pPr>
              <w:pStyle w:val="0"/>
            </w:pPr>
            <w:r>
              <w:rPr>
                <w:sz w:val="20"/>
              </w:rPr>
              <w:t xml:space="preserve">71.</w:t>
            </w:r>
          </w:p>
        </w:tc>
        <w:tc>
          <w:tcPr>
            <w:tcW w:w="3402" w:type="dxa"/>
          </w:tcPr>
          <w:p>
            <w:pPr>
              <w:pStyle w:val="0"/>
            </w:pPr>
            <w:r>
              <w:rPr>
                <w:sz w:val="20"/>
              </w:rPr>
              <w:t xml:space="preserve">Фестиваль чтецов на русском языке в зарубежных странах</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Депобщественных и внешних связей Югры</w:t>
            </w:r>
          </w:p>
        </w:tc>
        <w:tc>
          <w:tcPr>
            <w:tcW w:w="3288" w:type="dxa"/>
          </w:tcPr>
          <w:p>
            <w:pPr>
              <w:pStyle w:val="0"/>
            </w:pPr>
            <w:hyperlink w:history="0" r:id="rId413"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Программа</w:t>
              </w:r>
            </w:hyperlink>
            <w:r>
              <w:rPr>
                <w:sz w:val="20"/>
              </w:rPr>
              <w:t xml:space="preserve"> "Развитие гражданского общества"</w:t>
            </w:r>
          </w:p>
        </w:tc>
      </w:tr>
      <w:tr>
        <w:tc>
          <w:tcPr>
            <w:tcW w:w="454" w:type="dxa"/>
          </w:tcPr>
          <w:p>
            <w:pPr>
              <w:pStyle w:val="0"/>
            </w:pPr>
            <w:r>
              <w:rPr>
                <w:sz w:val="20"/>
              </w:rPr>
              <w:t xml:space="preserve">72.</w:t>
            </w:r>
          </w:p>
        </w:tc>
        <w:tc>
          <w:tcPr>
            <w:tcW w:w="3402" w:type="dxa"/>
          </w:tcPr>
          <w:p>
            <w:pPr>
              <w:pStyle w:val="0"/>
            </w:pPr>
            <w:r>
              <w:rPr>
                <w:sz w:val="20"/>
              </w:rPr>
              <w:t xml:space="preserve">Предоставление на конкурсной основе грантов Губернатора автономного округа на развитие гражданского общества социально ориентированным некоммерческим организациям и физическим лицам, реализующим социально значимые проекты в области сохранения традиций народного творчества и историко-культурного наследия</w:t>
            </w:r>
          </w:p>
        </w:tc>
        <w:tc>
          <w:tcPr>
            <w:tcW w:w="2041" w:type="dxa"/>
          </w:tcPr>
          <w:p>
            <w:pPr>
              <w:pStyle w:val="0"/>
            </w:pPr>
            <w:r>
              <w:rPr>
                <w:sz w:val="20"/>
              </w:rPr>
              <w:t xml:space="preserve">до 31 декабря 2022 года</w:t>
            </w:r>
          </w:p>
        </w:tc>
        <w:tc>
          <w:tcPr>
            <w:tcW w:w="3175" w:type="dxa"/>
          </w:tcPr>
          <w:p>
            <w:pPr>
              <w:pStyle w:val="0"/>
            </w:pPr>
            <w:r>
              <w:rPr>
                <w:sz w:val="20"/>
              </w:rPr>
              <w:t xml:space="preserve">Депобщественных и внешних связей Югры</w:t>
            </w:r>
          </w:p>
        </w:tc>
        <w:tc>
          <w:tcPr>
            <w:tcW w:w="3288" w:type="dxa"/>
          </w:tcPr>
          <w:p>
            <w:pPr>
              <w:pStyle w:val="0"/>
            </w:pPr>
            <w:hyperlink w:history="0" r:id="rId414" w:tooltip="Постановление Правительства ХМАО - Югры от 31.10.2021 N 487-п (ред. от 13.10.2023) &quot;О государственной программе Ханты-Мансийского автономного округа - Югры &quot;Развитие гражданского общества&quot; {КонсультантПлюс}">
              <w:r>
                <w:rPr>
                  <w:sz w:val="20"/>
                  <w:color w:val="0000ff"/>
                </w:rPr>
                <w:t xml:space="preserve">Программа</w:t>
              </w:r>
            </w:hyperlink>
            <w:r>
              <w:rPr>
                <w:sz w:val="20"/>
              </w:rPr>
              <w:t xml:space="preserve"> "Развитие гражданского общества"</w:t>
            </w:r>
          </w:p>
        </w:tc>
      </w:tr>
    </w:tbl>
    <w:p>
      <w:pPr>
        <w:sectPr>
          <w:headerReference w:type="default" r:id="rId341"/>
          <w:headerReference w:type="first" r:id="rId341"/>
          <w:footerReference w:type="default" r:id="rId342"/>
          <w:footerReference w:type="first" r:id="rId34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ind w:firstLine="540"/>
        <w:jc w:val="both"/>
      </w:pPr>
      <w:r>
        <w:rPr>
          <w:sz w:val="20"/>
        </w:rPr>
      </w:r>
    </w:p>
    <w:bookmarkStart w:id="2385" w:name="P2385"/>
    <w:bookmarkEnd w:id="2385"/>
    <w:p>
      <w:pPr>
        <w:pStyle w:val="2"/>
        <w:jc w:val="center"/>
      </w:pPr>
      <w:r>
        <w:rPr>
          <w:sz w:val="20"/>
        </w:rPr>
        <w:t xml:space="preserve">ПЛАН</w:t>
      </w:r>
    </w:p>
    <w:p>
      <w:pPr>
        <w:pStyle w:val="2"/>
        <w:jc w:val="center"/>
      </w:pPr>
      <w:r>
        <w:rPr>
          <w:sz w:val="20"/>
        </w:rPr>
        <w:t xml:space="preserve">ОСНОВНЫХ МЕРОПРИЯТИЙ, ПОСВЯЩЕННЫХ ПРАЗДНОВАНИЮ</w:t>
      </w:r>
    </w:p>
    <w:p>
      <w:pPr>
        <w:pStyle w:val="2"/>
        <w:jc w:val="center"/>
      </w:pPr>
      <w:r>
        <w:rPr>
          <w:sz w:val="20"/>
        </w:rPr>
        <w:t xml:space="preserve">В ХАНТЫ-МАНСИЙСКОМ АВТОНОМНОМ ОКРУГЕ - ЮГРЕ 250-ЛЕТИЯ</w:t>
      </w:r>
    </w:p>
    <w:p>
      <w:pPr>
        <w:pStyle w:val="2"/>
        <w:jc w:val="center"/>
      </w:pPr>
      <w:r>
        <w:rPr>
          <w:sz w:val="20"/>
        </w:rPr>
        <w:t xml:space="preserve">ГОСУДАРСТВЕННОГО АКАДЕМИЧЕСКОГО БОЛЬШОГО ТЕАТРА РОССИИ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5" w:tooltip="Постановление Правительства ХМАО - Югры от 03.06.2022 N 245-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color w:val="392c69"/>
              </w:rPr>
              <w:t xml:space="preserve"> Правительства ХМАО - Югры от 03.06.2022 N 245-п)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724"/>
        <w:gridCol w:w="2041"/>
        <w:gridCol w:w="2254"/>
        <w:gridCol w:w="2154"/>
      </w:tblGrid>
      <w:tr>
        <w:tc>
          <w:tcPr>
            <w:tcW w:w="454" w:type="dxa"/>
          </w:tcPr>
          <w:p>
            <w:pPr>
              <w:pStyle w:val="0"/>
              <w:jc w:val="center"/>
            </w:pPr>
            <w:r>
              <w:rPr>
                <w:sz w:val="20"/>
              </w:rPr>
              <w:t xml:space="preserve">N п/п</w:t>
            </w:r>
          </w:p>
        </w:tc>
        <w:tc>
          <w:tcPr>
            <w:tcW w:w="3724" w:type="dxa"/>
          </w:tcPr>
          <w:p>
            <w:pPr>
              <w:pStyle w:val="0"/>
              <w:jc w:val="center"/>
            </w:pPr>
            <w:r>
              <w:rPr>
                <w:sz w:val="20"/>
              </w:rPr>
              <w:t xml:space="preserve">Наименование мероприятия</w:t>
            </w:r>
          </w:p>
        </w:tc>
        <w:tc>
          <w:tcPr>
            <w:tcW w:w="2041" w:type="dxa"/>
          </w:tcPr>
          <w:p>
            <w:pPr>
              <w:pStyle w:val="0"/>
              <w:jc w:val="center"/>
            </w:pPr>
            <w:r>
              <w:rPr>
                <w:sz w:val="20"/>
              </w:rPr>
              <w:t xml:space="preserve">Сроки проведения</w:t>
            </w:r>
          </w:p>
        </w:tc>
        <w:tc>
          <w:tcPr>
            <w:tcW w:w="2254" w:type="dxa"/>
          </w:tcPr>
          <w:p>
            <w:pPr>
              <w:pStyle w:val="0"/>
              <w:jc w:val="center"/>
            </w:pPr>
            <w:r>
              <w:rPr>
                <w:sz w:val="20"/>
              </w:rPr>
              <w:t xml:space="preserve">Ответственные исполнители</w:t>
            </w:r>
          </w:p>
        </w:tc>
        <w:tc>
          <w:tcPr>
            <w:tcW w:w="2154" w:type="dxa"/>
          </w:tcPr>
          <w:p>
            <w:pPr>
              <w:pStyle w:val="0"/>
              <w:jc w:val="center"/>
            </w:pPr>
            <w:r>
              <w:rPr>
                <w:sz w:val="20"/>
              </w:rPr>
              <w:t xml:space="preserve">Источник финансирования</w:t>
            </w:r>
          </w:p>
        </w:tc>
      </w:tr>
      <w:tr>
        <w:tc>
          <w:tcPr>
            <w:tcW w:w="454" w:type="dxa"/>
          </w:tcPr>
          <w:p>
            <w:pPr>
              <w:pStyle w:val="0"/>
            </w:pPr>
            <w:r>
              <w:rPr>
                <w:sz w:val="20"/>
              </w:rPr>
              <w:t xml:space="preserve">1.</w:t>
            </w:r>
          </w:p>
        </w:tc>
        <w:tc>
          <w:tcPr>
            <w:tcW w:w="3724" w:type="dxa"/>
          </w:tcPr>
          <w:p>
            <w:pPr>
              <w:pStyle w:val="0"/>
            </w:pPr>
            <w:r>
              <w:rPr>
                <w:sz w:val="20"/>
              </w:rPr>
              <w:t xml:space="preserve">Проведение просветительского мероприятия творческой лаборатории "Терпсихора" с народным артистом Российской Федерации А.А. Мунтагировым "День рождения Новера", посвященного празднованию 250-летия Государственного академического Большого театра России</w:t>
            </w:r>
          </w:p>
        </w:tc>
        <w:tc>
          <w:tcPr>
            <w:tcW w:w="2041" w:type="dxa"/>
          </w:tcPr>
          <w:p>
            <w:pPr>
              <w:pStyle w:val="0"/>
            </w:pPr>
            <w:r>
              <w:rPr>
                <w:sz w:val="20"/>
              </w:rPr>
              <w:t xml:space="preserve">до 31 декабря 2022 года</w:t>
            </w:r>
          </w:p>
        </w:tc>
        <w:tc>
          <w:tcPr>
            <w:tcW w:w="2254" w:type="dxa"/>
          </w:tcPr>
          <w:p>
            <w:pPr>
              <w:pStyle w:val="0"/>
            </w:pPr>
            <w:r>
              <w:rPr>
                <w:sz w:val="20"/>
              </w:rPr>
              <w:t xml:space="preserve">Департамент культуры Ханты-Мансийского автономного округа - Югры (далее - Депкультуры Югры, автономный округ)</w:t>
            </w:r>
          </w:p>
        </w:tc>
        <w:tc>
          <w:tcPr>
            <w:tcW w:w="2154" w:type="dxa"/>
          </w:tcPr>
          <w:p>
            <w:pPr>
              <w:pStyle w:val="0"/>
            </w:pPr>
            <w:r>
              <w:rPr>
                <w:sz w:val="20"/>
              </w:rPr>
              <w:t xml:space="preserve">Государственная программа автономного округа "Культурное пространство" (далее - Программа "Культурное пространство")</w:t>
            </w:r>
          </w:p>
        </w:tc>
      </w:tr>
      <w:tr>
        <w:tc>
          <w:tcPr>
            <w:tcW w:w="454" w:type="dxa"/>
          </w:tcPr>
          <w:p>
            <w:pPr>
              <w:pStyle w:val="0"/>
            </w:pPr>
            <w:r>
              <w:rPr>
                <w:sz w:val="20"/>
              </w:rPr>
              <w:t xml:space="preserve">2.</w:t>
            </w:r>
          </w:p>
        </w:tc>
        <w:tc>
          <w:tcPr>
            <w:tcW w:w="3724" w:type="dxa"/>
          </w:tcPr>
          <w:p>
            <w:pPr>
              <w:pStyle w:val="0"/>
            </w:pPr>
            <w:r>
              <w:rPr>
                <w:sz w:val="20"/>
              </w:rPr>
              <w:t xml:space="preserve">Проведение Всероссийской научно-практической конференции "Теоретические и практические аспекты образования в сфере культуры и искусства" по направлению "Музыка и театр", посвященной празднованию 250-летия Государственного академического Большого театра России</w:t>
            </w:r>
          </w:p>
        </w:tc>
        <w:tc>
          <w:tcPr>
            <w:tcW w:w="2041" w:type="dxa"/>
          </w:tcPr>
          <w:p>
            <w:pPr>
              <w:pStyle w:val="0"/>
            </w:pPr>
            <w:r>
              <w:rPr>
                <w:sz w:val="20"/>
              </w:rPr>
              <w:t xml:space="preserve">до 31 октября 2022 года,</w:t>
            </w:r>
          </w:p>
          <w:p>
            <w:pPr>
              <w:pStyle w:val="0"/>
            </w:pPr>
            <w:r>
              <w:rPr>
                <w:sz w:val="20"/>
              </w:rPr>
              <w:t xml:space="preserve">до 31 октября 2024 года,</w:t>
            </w:r>
          </w:p>
          <w:p>
            <w:pPr>
              <w:pStyle w:val="0"/>
            </w:pPr>
            <w:r>
              <w:rPr>
                <w:sz w:val="20"/>
              </w:rPr>
              <w:t xml:space="preserve">до 31 октября 2026 года</w:t>
            </w:r>
          </w:p>
        </w:tc>
        <w:tc>
          <w:tcPr>
            <w:tcW w:w="2254" w:type="dxa"/>
          </w:tcPr>
          <w:p>
            <w:pPr>
              <w:pStyle w:val="0"/>
            </w:pPr>
            <w:r>
              <w:rPr>
                <w:sz w:val="20"/>
              </w:rPr>
              <w:t xml:space="preserve">Депкультуры Югры</w:t>
            </w:r>
          </w:p>
        </w:tc>
        <w:tc>
          <w:tcPr>
            <w:tcW w:w="2154" w:type="dxa"/>
          </w:tcPr>
          <w:p>
            <w:pPr>
              <w:pStyle w:val="0"/>
            </w:pPr>
            <w:r>
              <w:rPr>
                <w:sz w:val="20"/>
              </w:rPr>
              <w:t xml:space="preserve">Программа "Культурное пространство"</w:t>
            </w:r>
          </w:p>
        </w:tc>
      </w:tr>
      <w:tr>
        <w:tc>
          <w:tcPr>
            <w:tcW w:w="454" w:type="dxa"/>
          </w:tcPr>
          <w:p>
            <w:pPr>
              <w:pStyle w:val="0"/>
            </w:pPr>
            <w:r>
              <w:rPr>
                <w:sz w:val="20"/>
              </w:rPr>
              <w:t xml:space="preserve">3.</w:t>
            </w:r>
          </w:p>
        </w:tc>
        <w:tc>
          <w:tcPr>
            <w:tcW w:w="3724" w:type="dxa"/>
          </w:tcPr>
          <w:p>
            <w:pPr>
              <w:pStyle w:val="0"/>
            </w:pPr>
            <w:r>
              <w:rPr>
                <w:sz w:val="20"/>
              </w:rPr>
              <w:t xml:space="preserve">Проведение информационных выставок, "круглых столов", конкурсов, посвященных празднованию 250-летия Государственного академического Большого театра России</w:t>
            </w:r>
          </w:p>
        </w:tc>
        <w:tc>
          <w:tcPr>
            <w:tcW w:w="2041" w:type="dxa"/>
          </w:tcPr>
          <w:p>
            <w:pPr>
              <w:pStyle w:val="0"/>
            </w:pPr>
            <w:r>
              <w:rPr>
                <w:sz w:val="20"/>
              </w:rPr>
              <w:t xml:space="preserve">до 31 декабря 2022 года</w:t>
            </w:r>
          </w:p>
        </w:tc>
        <w:tc>
          <w:tcPr>
            <w:tcW w:w="2254" w:type="dxa"/>
          </w:tcPr>
          <w:p>
            <w:pPr>
              <w:pStyle w:val="0"/>
            </w:pPr>
            <w:r>
              <w:rPr>
                <w:sz w:val="20"/>
              </w:rPr>
              <w:t xml:space="preserve">Департамент образования и науки автономного округа</w:t>
            </w:r>
          </w:p>
        </w:tc>
        <w:tc>
          <w:tcPr>
            <w:tcW w:w="2154" w:type="dxa"/>
          </w:tcPr>
          <w:p>
            <w:pPr>
              <w:pStyle w:val="0"/>
            </w:pPr>
            <w:r>
              <w:rPr>
                <w:sz w:val="20"/>
              </w:rPr>
              <w:t xml:space="preserve">Государственная программа автономного округа "Развитие образования"</w:t>
            </w:r>
          </w:p>
        </w:tc>
      </w:tr>
      <w:tr>
        <w:tc>
          <w:tcPr>
            <w:tcW w:w="454" w:type="dxa"/>
          </w:tcPr>
          <w:p>
            <w:pPr>
              <w:pStyle w:val="0"/>
            </w:pPr>
            <w:r>
              <w:rPr>
                <w:sz w:val="20"/>
              </w:rPr>
              <w:t xml:space="preserve">4.</w:t>
            </w:r>
          </w:p>
        </w:tc>
        <w:tc>
          <w:tcPr>
            <w:tcW w:w="3724" w:type="dxa"/>
          </w:tcPr>
          <w:p>
            <w:pPr>
              <w:pStyle w:val="0"/>
            </w:pPr>
            <w:r>
              <w:rPr>
                <w:sz w:val="20"/>
              </w:rPr>
              <w:t xml:space="preserve">Организация выставки экспонатов из фондов музея Государственного академического Большого театра России, посвященной празднованию его 250-летия</w:t>
            </w:r>
          </w:p>
        </w:tc>
        <w:tc>
          <w:tcPr>
            <w:tcW w:w="2041" w:type="dxa"/>
          </w:tcPr>
          <w:p>
            <w:pPr>
              <w:pStyle w:val="0"/>
            </w:pPr>
            <w:r>
              <w:rPr>
                <w:sz w:val="20"/>
              </w:rPr>
              <w:t xml:space="preserve">до 31 декабря 2026 года</w:t>
            </w:r>
          </w:p>
        </w:tc>
        <w:tc>
          <w:tcPr>
            <w:tcW w:w="2254" w:type="dxa"/>
          </w:tcPr>
          <w:p>
            <w:pPr>
              <w:pStyle w:val="0"/>
            </w:pPr>
            <w:r>
              <w:rPr>
                <w:sz w:val="20"/>
              </w:rPr>
              <w:t xml:space="preserve">Депкультуры Югры</w:t>
            </w:r>
          </w:p>
        </w:tc>
        <w:tc>
          <w:tcPr>
            <w:tcW w:w="2154" w:type="dxa"/>
          </w:tcPr>
          <w:p>
            <w:pPr>
              <w:pStyle w:val="0"/>
            </w:pPr>
            <w:r>
              <w:rPr>
                <w:sz w:val="20"/>
              </w:rPr>
              <w:t xml:space="preserve">Программа "Культурное пространство"</w:t>
            </w:r>
          </w:p>
        </w:tc>
      </w:tr>
      <w:tr>
        <w:tc>
          <w:tcPr>
            <w:tcW w:w="454" w:type="dxa"/>
          </w:tcPr>
          <w:p>
            <w:pPr>
              <w:pStyle w:val="0"/>
            </w:pPr>
            <w:r>
              <w:rPr>
                <w:sz w:val="20"/>
              </w:rPr>
              <w:t xml:space="preserve">5.</w:t>
            </w:r>
          </w:p>
        </w:tc>
        <w:tc>
          <w:tcPr>
            <w:tcW w:w="3724" w:type="dxa"/>
          </w:tcPr>
          <w:p>
            <w:pPr>
              <w:pStyle w:val="0"/>
            </w:pPr>
            <w:r>
              <w:rPr>
                <w:sz w:val="20"/>
              </w:rPr>
              <w:t xml:space="preserve">Организация выставки "Волшебный мир театра", посвященной празднованию 250-летия Государственного академического Большого театра России</w:t>
            </w:r>
          </w:p>
        </w:tc>
        <w:tc>
          <w:tcPr>
            <w:tcW w:w="2041" w:type="dxa"/>
          </w:tcPr>
          <w:p>
            <w:pPr>
              <w:pStyle w:val="0"/>
            </w:pPr>
            <w:r>
              <w:rPr>
                <w:sz w:val="20"/>
              </w:rPr>
              <w:t xml:space="preserve">до 25 апреля 2026 года</w:t>
            </w:r>
          </w:p>
        </w:tc>
        <w:tc>
          <w:tcPr>
            <w:tcW w:w="2254" w:type="dxa"/>
          </w:tcPr>
          <w:p>
            <w:pPr>
              <w:pStyle w:val="0"/>
            </w:pPr>
            <w:r>
              <w:rPr>
                <w:sz w:val="20"/>
              </w:rPr>
              <w:t xml:space="preserve">Депкультуры Югры</w:t>
            </w:r>
          </w:p>
        </w:tc>
        <w:tc>
          <w:tcPr>
            <w:tcW w:w="2154" w:type="dxa"/>
          </w:tcPr>
          <w:p>
            <w:pPr>
              <w:pStyle w:val="0"/>
            </w:pPr>
            <w:r>
              <w:rPr>
                <w:sz w:val="20"/>
              </w:rPr>
              <w:t xml:space="preserve">Программа "Культурное пространство"</w:t>
            </w:r>
          </w:p>
        </w:tc>
      </w:tr>
      <w:tr>
        <w:tc>
          <w:tcPr>
            <w:tcW w:w="454" w:type="dxa"/>
          </w:tcPr>
          <w:p>
            <w:pPr>
              <w:pStyle w:val="0"/>
            </w:pPr>
            <w:r>
              <w:rPr>
                <w:sz w:val="20"/>
              </w:rPr>
              <w:t xml:space="preserve">6.</w:t>
            </w:r>
          </w:p>
        </w:tc>
        <w:tc>
          <w:tcPr>
            <w:tcW w:w="3724" w:type="dxa"/>
          </w:tcPr>
          <w:p>
            <w:pPr>
              <w:pStyle w:val="0"/>
            </w:pPr>
            <w:r>
              <w:rPr>
                <w:sz w:val="20"/>
              </w:rPr>
              <w:t xml:space="preserve">Организация викторин-презентаций, квестов, кинопоказов, посвященных празднованию 250-летия Государственного академического Большого театра России</w:t>
            </w:r>
          </w:p>
        </w:tc>
        <w:tc>
          <w:tcPr>
            <w:tcW w:w="204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tc>
        <w:tc>
          <w:tcPr>
            <w:tcW w:w="2254" w:type="dxa"/>
          </w:tcPr>
          <w:p>
            <w:pPr>
              <w:pStyle w:val="0"/>
            </w:pPr>
            <w:r>
              <w:rPr>
                <w:sz w:val="20"/>
              </w:rPr>
              <w:t xml:space="preserve">Депкультуры Югры,</w:t>
            </w:r>
          </w:p>
          <w:p>
            <w:pPr>
              <w:pStyle w:val="0"/>
            </w:pPr>
            <w:r>
              <w:rPr>
                <w:sz w:val="20"/>
              </w:rPr>
              <w:t xml:space="preserve">муниципальные образования автономного округа (по согласованию)</w:t>
            </w:r>
          </w:p>
        </w:tc>
        <w:tc>
          <w:tcPr>
            <w:tcW w:w="2154" w:type="dxa"/>
          </w:tcPr>
          <w:p>
            <w:pPr>
              <w:pStyle w:val="0"/>
            </w:pPr>
            <w:r>
              <w:rPr>
                <w:sz w:val="20"/>
              </w:rPr>
              <w:t xml:space="preserve">Программа "Культурное пространство", бюджеты муниципальных образований автономного округа</w:t>
            </w:r>
          </w:p>
        </w:tc>
      </w:tr>
      <w:tr>
        <w:tc>
          <w:tcPr>
            <w:tcW w:w="454" w:type="dxa"/>
          </w:tcPr>
          <w:p>
            <w:pPr>
              <w:pStyle w:val="0"/>
            </w:pPr>
            <w:r>
              <w:rPr>
                <w:sz w:val="20"/>
              </w:rPr>
              <w:t xml:space="preserve">7.</w:t>
            </w:r>
          </w:p>
        </w:tc>
        <w:tc>
          <w:tcPr>
            <w:tcW w:w="3724" w:type="dxa"/>
          </w:tcPr>
          <w:p>
            <w:pPr>
              <w:pStyle w:val="0"/>
            </w:pPr>
            <w:r>
              <w:rPr>
                <w:sz w:val="20"/>
              </w:rPr>
              <w:t xml:space="preserve">Проведение информационно-просветительских мероприятий, тематических уроков, классных часов, интерактивных занятий, тематических музыкальных мероприятий, уроков музыки, концертных программ, фестивалей, посвященных празднованию 250-летия Государственного академического Большого театра России</w:t>
            </w:r>
          </w:p>
        </w:tc>
        <w:tc>
          <w:tcPr>
            <w:tcW w:w="204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tc>
        <w:tc>
          <w:tcPr>
            <w:tcW w:w="2254" w:type="dxa"/>
          </w:tcPr>
          <w:p>
            <w:pPr>
              <w:pStyle w:val="0"/>
            </w:pPr>
            <w:r>
              <w:rPr>
                <w:sz w:val="20"/>
              </w:rPr>
              <w:t xml:space="preserve">Депкультуры Югры,</w:t>
            </w:r>
          </w:p>
          <w:p>
            <w:pPr>
              <w:pStyle w:val="0"/>
            </w:pPr>
            <w:r>
              <w:rPr>
                <w:sz w:val="20"/>
              </w:rPr>
              <w:t xml:space="preserve">муниципальные образования автономного округа (по согласованию)</w:t>
            </w:r>
          </w:p>
        </w:tc>
        <w:tc>
          <w:tcPr>
            <w:tcW w:w="2154" w:type="dxa"/>
          </w:tcPr>
          <w:p>
            <w:pPr>
              <w:pStyle w:val="0"/>
            </w:pPr>
            <w:r>
              <w:rPr>
                <w:sz w:val="20"/>
              </w:rPr>
              <w:t xml:space="preserve">Программа "Культурное пространство", бюджеты муниципальных образований автономного округа</w:t>
            </w:r>
          </w:p>
        </w:tc>
      </w:tr>
      <w:tr>
        <w:tc>
          <w:tcPr>
            <w:tcW w:w="454" w:type="dxa"/>
          </w:tcPr>
          <w:p>
            <w:pPr>
              <w:pStyle w:val="0"/>
            </w:pPr>
            <w:r>
              <w:rPr>
                <w:sz w:val="20"/>
              </w:rPr>
              <w:t xml:space="preserve">8.</w:t>
            </w:r>
          </w:p>
        </w:tc>
        <w:tc>
          <w:tcPr>
            <w:tcW w:w="3724" w:type="dxa"/>
          </w:tcPr>
          <w:p>
            <w:pPr>
              <w:pStyle w:val="0"/>
            </w:pPr>
            <w:r>
              <w:rPr>
                <w:sz w:val="20"/>
              </w:rPr>
              <w:t xml:space="preserve">Освещение в региональных средствах массовой информации мероприятий, посвященных празднованию 250-летия Государственного академического Большого театра России</w:t>
            </w:r>
          </w:p>
        </w:tc>
        <w:tc>
          <w:tcPr>
            <w:tcW w:w="2041" w:type="dxa"/>
          </w:tcPr>
          <w:p>
            <w:pPr>
              <w:pStyle w:val="0"/>
            </w:pPr>
            <w:r>
              <w:rPr>
                <w:sz w:val="20"/>
              </w:rPr>
              <w:t xml:space="preserve">до 31 декабря 2022 года,</w:t>
            </w:r>
          </w:p>
          <w:p>
            <w:pPr>
              <w:pStyle w:val="0"/>
            </w:pPr>
            <w:r>
              <w:rPr>
                <w:sz w:val="20"/>
              </w:rPr>
              <w:t xml:space="preserve">до 31 декабря 2023 года,</w:t>
            </w:r>
          </w:p>
          <w:p>
            <w:pPr>
              <w:pStyle w:val="0"/>
            </w:pPr>
            <w:r>
              <w:rPr>
                <w:sz w:val="20"/>
              </w:rPr>
              <w:t xml:space="preserve">до 31 декабря 2024 года,</w:t>
            </w:r>
          </w:p>
          <w:p>
            <w:pPr>
              <w:pStyle w:val="0"/>
            </w:pPr>
            <w:r>
              <w:rPr>
                <w:sz w:val="20"/>
              </w:rPr>
              <w:t xml:space="preserve">до 31 декабря 2025 года,</w:t>
            </w:r>
          </w:p>
          <w:p>
            <w:pPr>
              <w:pStyle w:val="0"/>
            </w:pPr>
            <w:r>
              <w:rPr>
                <w:sz w:val="20"/>
              </w:rPr>
              <w:t xml:space="preserve">до 31 декабря 2026 года</w:t>
            </w:r>
          </w:p>
        </w:tc>
        <w:tc>
          <w:tcPr>
            <w:tcW w:w="2254" w:type="dxa"/>
          </w:tcPr>
          <w:p>
            <w:pPr>
              <w:pStyle w:val="0"/>
            </w:pPr>
            <w:r>
              <w:rPr>
                <w:sz w:val="20"/>
              </w:rPr>
              <w:t xml:space="preserve">Департамент общественных, внешних связей и молодежной политики автономного округа</w:t>
            </w:r>
          </w:p>
        </w:tc>
        <w:tc>
          <w:tcPr>
            <w:tcW w:w="2154" w:type="dxa"/>
          </w:tcPr>
          <w:p>
            <w:pPr>
              <w:pStyle w:val="0"/>
            </w:pPr>
            <w:r>
              <w:rPr>
                <w:sz w:val="20"/>
              </w:rPr>
              <w:t xml:space="preserve">Государственная программа автономного округа "Развитие гражданского общества"</w:t>
            </w:r>
          </w:p>
        </w:tc>
      </w:tr>
    </w:tbl>
    <w:p>
      <w:pPr>
        <w:sectPr>
          <w:headerReference w:type="default" r:id="rId341"/>
          <w:headerReference w:type="first" r:id="rId341"/>
          <w:footerReference w:type="default" r:id="rId342"/>
          <w:footerReference w:type="first" r:id="rId34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30 декабря 2021 года N 640-п</w:t>
      </w:r>
    </w:p>
    <w:p>
      <w:pPr>
        <w:pStyle w:val="0"/>
        <w:ind w:firstLine="540"/>
        <w:jc w:val="both"/>
      </w:pPr>
      <w:r>
        <w:rPr>
          <w:sz w:val="20"/>
        </w:rPr>
      </w:r>
    </w:p>
    <w:bookmarkStart w:id="2464" w:name="P2464"/>
    <w:bookmarkEnd w:id="2464"/>
    <w:p>
      <w:pPr>
        <w:pStyle w:val="2"/>
        <w:jc w:val="center"/>
      </w:pPr>
      <w:r>
        <w:rPr>
          <w:sz w:val="20"/>
        </w:rPr>
        <w:t xml:space="preserve">ПОРЯДОК</w:t>
      </w:r>
    </w:p>
    <w:p>
      <w:pPr>
        <w:pStyle w:val="2"/>
        <w:jc w:val="center"/>
      </w:pPr>
      <w:r>
        <w:rPr>
          <w:sz w:val="20"/>
        </w:rPr>
        <w:t xml:space="preserve">ПРЕДОСТАВЛЕНИЯ И РАСПРЕДЕЛЕНИЯ СУБСИДИИ ИЗ БЮДЖЕТА</w:t>
      </w:r>
    </w:p>
    <w:p>
      <w:pPr>
        <w:pStyle w:val="2"/>
        <w:jc w:val="center"/>
      </w:pPr>
      <w:r>
        <w:rPr>
          <w:sz w:val="20"/>
        </w:rPr>
        <w:t xml:space="preserve">ХАНТЫ-МАНСИЙСКОГО АВТОНОМНОГО ОКРУГА - ЮГРЫ БЮДЖЕТАМ</w:t>
      </w:r>
    </w:p>
    <w:p>
      <w:pPr>
        <w:pStyle w:val="2"/>
        <w:jc w:val="center"/>
      </w:pPr>
      <w:r>
        <w:rPr>
          <w:sz w:val="20"/>
        </w:rPr>
        <w:t xml:space="preserve">ГОРОДСКИХ ОКРУГОВ И МУНИЦИПАЛЬНЫХ РАЙОНОВ ХАНТЫ-МАНСИЙСКОГО</w:t>
      </w:r>
    </w:p>
    <w:p>
      <w:pPr>
        <w:pStyle w:val="2"/>
        <w:jc w:val="center"/>
      </w:pPr>
      <w:r>
        <w:rPr>
          <w:sz w:val="20"/>
        </w:rPr>
        <w:t xml:space="preserve">АВТОНОМНОГО ОКРУГА - ЮГРЫ НА СОЗДАНИЕ ШКОЛ КРЕАТИВНЫХ</w:t>
      </w:r>
    </w:p>
    <w:p>
      <w:pPr>
        <w:pStyle w:val="2"/>
        <w:jc w:val="center"/>
      </w:pPr>
      <w:r>
        <w:rPr>
          <w:sz w:val="20"/>
        </w:rPr>
        <w:t xml:space="preserve">ИНДУСТРИЙ, В ТОМ ЧИСЛЕ ЗА СЧЕТ СРЕДСТВ ФЕДЕРАЛЬНОГО БЮДЖЕТА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16" w:tooltip="Постановление Правительства ХМАО - Югры от 13.01.2023 N 2-п &quot;О внесении изменений в постановление Правительства Ханты-Мансийского автономного округа - Югры от 30 декабря 2021 года N 640-п &quot;О мерах по реализации государственной программы Ханты-Мансийского автономного округа - Югры &quot;Культурное пространство&quot; {КонсультантПлюс}">
              <w:r>
                <w:rPr>
                  <w:sz w:val="20"/>
                  <w:color w:val="0000ff"/>
                </w:rPr>
                <w:t xml:space="preserve">постановлением</w:t>
              </w:r>
            </w:hyperlink>
            <w:r>
              <w:rPr>
                <w:sz w:val="20"/>
                <w:color w:val="392c69"/>
              </w:rPr>
              <w:t xml:space="preserve"> Правительства ХМАО - Югры от 13.01.2023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Порядок определяет цели, условия и правила предоставления и распределения субсидии из бюджета Ханты-Мансийского автономного округа - Югры бюджетам городских округов и муниципальных районов Ханты-Мансийского автономного округа - Югры (далее - муниципальные образования, автономный округ) на создание школ креативных индустрий путем оснащения специальным оборудованием организаций в сфере культуры, имеющих лицензии на осуществление образовательной деятельности (далее - организации), и внедрения в них эффективных моделей коммуникации с обучающимися, направленных на повышение качества оказываемых организациями услуг, в целях реализации инициативы социально-экономического развития Российской Федерации "Придумано в России" в том числе за счет средств федерального бюджета (далее - Субсидия).</w:t>
      </w:r>
    </w:p>
    <w:p>
      <w:pPr>
        <w:pStyle w:val="0"/>
        <w:spacing w:before="200" w:line-rule="auto"/>
        <w:ind w:firstLine="540"/>
        <w:jc w:val="both"/>
      </w:pPr>
      <w:r>
        <w:rPr>
          <w:sz w:val="20"/>
        </w:rPr>
        <w:t xml:space="preserve">2. Субсидия предоставляется в соответствии со сводной бюджетной росписью бюджета автономного округа в пределах лимитов бюджетных обязательств, предусмотренных на реализацию основного </w:t>
      </w:r>
      <w:hyperlink w:history="0" r:id="rId417"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мероприятия 2.4</w:t>
        </w:r>
      </w:hyperlink>
      <w:r>
        <w:rPr>
          <w:sz w:val="20"/>
        </w:rPr>
        <w:t xml:space="preserve"> "Поддержка одаренных детей и молодежи, развитие художественного образования" подпрограммы 2 "Поддержка творческих инициатив, способствующих самореализации населения" государственной программы автономного округа "Культурное пространство", утвержденной постановлением Правительства автономного округа от 31 октября 2021 года N 470-п (далее - государственная программа "Культурное пространство"), в том числе по соглашению между Правительством автономного округа и Министерством культуры Российской Федерации.</w:t>
      </w:r>
    </w:p>
    <w:p>
      <w:pPr>
        <w:pStyle w:val="0"/>
        <w:spacing w:before="200" w:line-rule="auto"/>
        <w:ind w:firstLine="540"/>
        <w:jc w:val="both"/>
      </w:pPr>
      <w:r>
        <w:rPr>
          <w:sz w:val="20"/>
        </w:rPr>
        <w:t xml:space="preserve">Субсидия предоставляется в целях софинансирования расходных обязательств муниципальных образований на создание школ креативных индустрий на основании заявок муниципальных образований автономного округа, одобренных Министерством культуры Российской Федерации.</w:t>
      </w:r>
    </w:p>
    <w:p>
      <w:pPr>
        <w:pStyle w:val="0"/>
        <w:spacing w:before="200" w:line-rule="auto"/>
        <w:ind w:firstLine="540"/>
        <w:jc w:val="both"/>
      </w:pPr>
      <w:r>
        <w:rPr>
          <w:sz w:val="20"/>
        </w:rPr>
        <w:t xml:space="preserve">3. В Порядке используются понятия в значениях, указанных в </w:t>
      </w:r>
      <w:hyperlink w:history="0" r:id="rId418"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Правилах</w:t>
        </w:r>
      </w:hyperlink>
      <w:r>
        <w:rPr>
          <w:sz w:val="20"/>
        </w:rPr>
        <w:t xml:space="preserve"> предоставления субсидий из федерального бюджета бюджетам субъектов Российской Федерации на создание школ креативных индустрий, утвержденных постановлением Правительства Российской Федерации от 15 апреля 2014 года N 317 (далее - Правила).</w:t>
      </w:r>
    </w:p>
    <w:p>
      <w:pPr>
        <w:pStyle w:val="0"/>
        <w:spacing w:before="200" w:line-rule="auto"/>
        <w:ind w:firstLine="540"/>
        <w:jc w:val="both"/>
      </w:pPr>
      <w:r>
        <w:rPr>
          <w:sz w:val="20"/>
        </w:rPr>
        <w:t xml:space="preserve">4. Финансовое обеспечение создания школ креативных индустрий осуществляется:</w:t>
      </w:r>
    </w:p>
    <w:p>
      <w:pPr>
        <w:pStyle w:val="0"/>
        <w:spacing w:before="200" w:line-rule="auto"/>
        <w:ind w:firstLine="540"/>
        <w:jc w:val="both"/>
      </w:pPr>
      <w:r>
        <w:rPr>
          <w:sz w:val="20"/>
        </w:rPr>
        <w:t xml:space="preserve">4.1. За счет средств из федерального бюджета и бюджета автономного округа в части:</w:t>
      </w:r>
    </w:p>
    <w:p>
      <w:pPr>
        <w:pStyle w:val="0"/>
        <w:spacing w:before="200" w:line-rule="auto"/>
        <w:ind w:firstLine="540"/>
        <w:jc w:val="both"/>
      </w:pPr>
      <w:r>
        <w:rPr>
          <w:sz w:val="20"/>
        </w:rPr>
        <w:t xml:space="preserve">приобретения технического и технологического оборудования, необходимого для оснащения школ креативных индустрий, включая его доставку, монтаж (демонтаж), погрузочно-разгрузочные работы;</w:t>
      </w:r>
    </w:p>
    <w:p>
      <w:pPr>
        <w:pStyle w:val="0"/>
        <w:spacing w:before="200" w:line-rule="auto"/>
        <w:ind w:firstLine="540"/>
        <w:jc w:val="both"/>
      </w:pPr>
      <w:r>
        <w:rPr>
          <w:sz w:val="20"/>
        </w:rPr>
        <w:t xml:space="preserve">обеспечения школ креативных индустрий сценическими конструкциями и конструктивными элементами, включая их приобретение, изготовление, монтаж (демонтаж) и доставку.</w:t>
      </w:r>
    </w:p>
    <w:p>
      <w:pPr>
        <w:pStyle w:val="0"/>
        <w:spacing w:before="200" w:line-rule="auto"/>
        <w:ind w:firstLine="540"/>
        <w:jc w:val="both"/>
      </w:pPr>
      <w:r>
        <w:rPr>
          <w:sz w:val="20"/>
        </w:rPr>
        <w:t xml:space="preserve">4.2. За счет бюджета муниципального образования, в части:</w:t>
      </w:r>
    </w:p>
    <w:p>
      <w:pPr>
        <w:pStyle w:val="0"/>
        <w:spacing w:before="200" w:line-rule="auto"/>
        <w:ind w:firstLine="540"/>
        <w:jc w:val="both"/>
      </w:pPr>
      <w:r>
        <w:rPr>
          <w:sz w:val="20"/>
        </w:rPr>
        <w:t xml:space="preserve">обеспечения высокоскоростным широкополосным доступом к информационно-телекоммуникационной сети Интернет;</w:t>
      </w:r>
    </w:p>
    <w:p>
      <w:pPr>
        <w:pStyle w:val="0"/>
        <w:spacing w:before="200" w:line-rule="auto"/>
        <w:ind w:firstLine="540"/>
        <w:jc w:val="both"/>
      </w:pPr>
      <w:r>
        <w:rPr>
          <w:sz w:val="20"/>
        </w:rPr>
        <w:t xml:space="preserve">проведения капитального ремонта или реконструкции зданий и (или) помещений, используемых организацией для создания школ креативных индустрий;</w:t>
      </w:r>
    </w:p>
    <w:p>
      <w:pPr>
        <w:pStyle w:val="0"/>
        <w:spacing w:before="200" w:line-rule="auto"/>
        <w:ind w:firstLine="540"/>
        <w:jc w:val="both"/>
      </w:pPr>
      <w:r>
        <w:rPr>
          <w:sz w:val="20"/>
        </w:rPr>
        <w:t xml:space="preserve">проведения пусконаладочных работ технического и технологического оборудования;</w:t>
      </w:r>
    </w:p>
    <w:p>
      <w:pPr>
        <w:pStyle w:val="0"/>
        <w:spacing w:before="200" w:line-rule="auto"/>
        <w:ind w:firstLine="540"/>
        <w:jc w:val="both"/>
      </w:pPr>
      <w:r>
        <w:rPr>
          <w:sz w:val="20"/>
        </w:rPr>
        <w:t xml:space="preserve">расходов на фонд оплаты труда, обучение и повышение квалификации сотрудников организации и иных расходов на обеспечение уставной деятельности организации для функционирования школы креативных индустрий.</w:t>
      </w:r>
    </w:p>
    <w:bookmarkStart w:id="2487" w:name="P2487"/>
    <w:bookmarkEnd w:id="2487"/>
    <w:p>
      <w:pPr>
        <w:pStyle w:val="0"/>
        <w:spacing w:before="200" w:line-rule="auto"/>
        <w:ind w:firstLine="540"/>
        <w:jc w:val="both"/>
      </w:pPr>
      <w:r>
        <w:rPr>
          <w:sz w:val="20"/>
        </w:rPr>
        <w:t xml:space="preserve">5. Создание школ креативных индустрий включает требования, установленные </w:t>
      </w:r>
      <w:hyperlink w:history="0" r:id="rId419"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пунктом 5</w:t>
        </w:r>
      </w:hyperlink>
      <w:r>
        <w:rPr>
          <w:sz w:val="20"/>
        </w:rPr>
        <w:t xml:space="preserve"> Правил.</w:t>
      </w:r>
    </w:p>
    <w:bookmarkStart w:id="2488" w:name="P2488"/>
    <w:bookmarkEnd w:id="2488"/>
    <w:p>
      <w:pPr>
        <w:pStyle w:val="0"/>
        <w:spacing w:before="200" w:line-rule="auto"/>
        <w:ind w:firstLine="540"/>
        <w:jc w:val="both"/>
      </w:pPr>
      <w:r>
        <w:rPr>
          <w:sz w:val="20"/>
        </w:rPr>
        <w:t xml:space="preserve">6. Критериями отбора муниципальных образований являются:</w:t>
      </w:r>
    </w:p>
    <w:p>
      <w:pPr>
        <w:pStyle w:val="0"/>
        <w:spacing w:before="200" w:line-rule="auto"/>
        <w:ind w:firstLine="540"/>
        <w:jc w:val="both"/>
      </w:pPr>
      <w:r>
        <w:rPr>
          <w:sz w:val="20"/>
        </w:rPr>
        <w:t xml:space="preserve">наличие у организации помещения, не менее 50 процентов площади которого доступно для лиц с ограниченными возможностями здоровья;</w:t>
      </w:r>
    </w:p>
    <w:p>
      <w:pPr>
        <w:pStyle w:val="0"/>
        <w:spacing w:before="200" w:line-rule="auto"/>
        <w:ind w:firstLine="540"/>
        <w:jc w:val="both"/>
      </w:pPr>
      <w:r>
        <w:rPr>
          <w:sz w:val="20"/>
        </w:rPr>
        <w:t xml:space="preserve">возможность обеспечения в помещениях организации высокоскоростного широкополосного доступа к информационно-телекоммуникационной сети Интернет;</w:t>
      </w:r>
    </w:p>
    <w:p>
      <w:pPr>
        <w:pStyle w:val="0"/>
        <w:spacing w:before="200" w:line-rule="auto"/>
        <w:ind w:firstLine="540"/>
        <w:jc w:val="both"/>
      </w:pPr>
      <w:r>
        <w:rPr>
          <w:sz w:val="20"/>
        </w:rPr>
        <w:t xml:space="preserve">наличие обоснования необходимости участия организации в проекте по созданию школ креативных индустрий;</w:t>
      </w:r>
    </w:p>
    <w:p>
      <w:pPr>
        <w:pStyle w:val="0"/>
        <w:spacing w:before="200" w:line-rule="auto"/>
        <w:ind w:firstLine="540"/>
        <w:jc w:val="both"/>
      </w:pPr>
      <w:r>
        <w:rPr>
          <w:sz w:val="20"/>
        </w:rPr>
        <w:t xml:space="preserve">наличие в штатном расписании организации не менее 3 полных ставок сотрудников для ведения культурно-просветительской деятельности;</w:t>
      </w:r>
    </w:p>
    <w:p>
      <w:pPr>
        <w:pStyle w:val="0"/>
        <w:spacing w:before="200" w:line-rule="auto"/>
        <w:ind w:firstLine="540"/>
        <w:jc w:val="both"/>
      </w:pPr>
      <w:r>
        <w:rPr>
          <w:sz w:val="20"/>
        </w:rPr>
        <w:t xml:space="preserve">создание не менее 3 студий школы креативных индустрий в организации;</w:t>
      </w:r>
    </w:p>
    <w:p>
      <w:pPr>
        <w:pStyle w:val="0"/>
        <w:spacing w:before="200" w:line-rule="auto"/>
        <w:ind w:firstLine="540"/>
        <w:jc w:val="both"/>
      </w:pPr>
      <w:r>
        <w:rPr>
          <w:sz w:val="20"/>
        </w:rPr>
        <w:t xml:space="preserve">наличие сметы расходов на создание школы креативных индустрий;</w:t>
      </w:r>
    </w:p>
    <w:p>
      <w:pPr>
        <w:pStyle w:val="0"/>
        <w:spacing w:before="200" w:line-rule="auto"/>
        <w:ind w:firstLine="540"/>
        <w:jc w:val="both"/>
      </w:pPr>
      <w:r>
        <w:rPr>
          <w:sz w:val="20"/>
        </w:rPr>
        <w:t xml:space="preserve">численность обучающихся по направлениям, указанным в </w:t>
      </w:r>
      <w:hyperlink w:history="0" r:id="rId420"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подпункте "в" пункта 5</w:t>
        </w:r>
      </w:hyperlink>
      <w:r>
        <w:rPr>
          <w:sz w:val="20"/>
        </w:rPr>
        <w:t xml:space="preserve"> Правил, в отчетном периоде не менее 9 человек.</w:t>
      </w:r>
    </w:p>
    <w:bookmarkStart w:id="2496" w:name="P2496"/>
    <w:bookmarkEnd w:id="2496"/>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об утверждении муниципальной программы, предусматривающей мероприятия, в целях софинансирования которых предоставляется Субсидия, в том числе для достижения результатов реализации государственной </w:t>
      </w:r>
      <w:hyperlink w:history="0" r:id="rId421"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w:t>
      </w:r>
    </w:p>
    <w:p>
      <w:pPr>
        <w:pStyle w:val="0"/>
        <w:spacing w:before="200" w:line-rule="auto"/>
        <w:ind w:firstLine="540"/>
        <w:jc w:val="both"/>
      </w:pPr>
      <w:r>
        <w:rPr>
          <w:sz w:val="20"/>
        </w:rPr>
        <w:t xml:space="preserve">заключение соглашения о предоставлении из бюджета автономного округа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их неисполнение.</w:t>
      </w:r>
    </w:p>
    <w:p>
      <w:pPr>
        <w:pStyle w:val="0"/>
        <w:spacing w:before="200" w:line-rule="auto"/>
        <w:ind w:firstLine="540"/>
        <w:jc w:val="both"/>
      </w:pPr>
      <w:r>
        <w:rPr>
          <w:sz w:val="20"/>
        </w:rPr>
        <w:t xml:space="preserve">8. Распределение Субсидии между бюджетами муниципальных образований устанавливается законом автономного округа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При распределении Субсидии ее размер местному бюджету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уровня софинансирования расходного обязательства муниципального образования из бюджета автономного округа.</w:t>
      </w:r>
    </w:p>
    <w:p>
      <w:pPr>
        <w:pStyle w:val="0"/>
        <w:spacing w:before="200" w:line-rule="auto"/>
        <w:ind w:firstLine="540"/>
        <w:jc w:val="both"/>
      </w:pPr>
      <w:r>
        <w:rPr>
          <w:sz w:val="20"/>
        </w:rPr>
        <w:t xml:space="preserve">9. Объем Субсидии (Vi), предоставляемой i-му муниципальному образованию автономного округа на соответствующий финансовый год, определяется по формуле:</w:t>
      </w:r>
    </w:p>
    <w:p>
      <w:pPr>
        <w:pStyle w:val="0"/>
        <w:ind w:firstLine="540"/>
        <w:jc w:val="both"/>
      </w:pPr>
      <w:r>
        <w:rPr>
          <w:sz w:val="20"/>
        </w:rPr>
      </w:r>
    </w:p>
    <w:p>
      <w:pPr>
        <w:pStyle w:val="0"/>
        <w:ind w:firstLine="540"/>
        <w:jc w:val="both"/>
      </w:pPr>
      <w:r>
        <w:rPr>
          <w:sz w:val="20"/>
        </w:rPr>
        <w:t xml:space="preserve">Vi = (Vобщ * Pi) / P, где:</w:t>
      </w:r>
    </w:p>
    <w:p>
      <w:pPr>
        <w:pStyle w:val="0"/>
        <w:ind w:firstLine="540"/>
        <w:jc w:val="both"/>
      </w:pPr>
      <w:r>
        <w:rPr>
          <w:sz w:val="20"/>
        </w:rPr>
      </w:r>
    </w:p>
    <w:p>
      <w:pPr>
        <w:pStyle w:val="0"/>
        <w:ind w:firstLine="540"/>
        <w:jc w:val="both"/>
      </w:pPr>
      <w:r>
        <w:rPr>
          <w:sz w:val="20"/>
        </w:rPr>
        <w:t xml:space="preserve">Vi - объем Субсидии из бюджета автономного округа бюджету i-го муниципального образования, в том числе за счет средств федерального бюджета;</w:t>
      </w:r>
    </w:p>
    <w:p>
      <w:pPr>
        <w:pStyle w:val="0"/>
        <w:spacing w:before="200" w:line-rule="auto"/>
        <w:ind w:firstLine="540"/>
        <w:jc w:val="both"/>
      </w:pPr>
      <w:r>
        <w:rPr>
          <w:sz w:val="20"/>
        </w:rPr>
        <w:t xml:space="preserve">Vобщ - общий объем Субсидии на создание школ креативных индустрий на соответствующий финансовый год;</w:t>
      </w:r>
    </w:p>
    <w:p>
      <w:pPr>
        <w:pStyle w:val="0"/>
        <w:spacing w:before="200" w:line-rule="auto"/>
        <w:ind w:firstLine="540"/>
        <w:jc w:val="both"/>
      </w:pPr>
      <w:r>
        <w:rPr>
          <w:sz w:val="20"/>
        </w:rPr>
        <w:t xml:space="preserve">Pi - объем заявленной финансовой потребности i-го муниципального образования на создание школы креативных индустрий в Министерство культуры Российской Федерации;</w:t>
      </w:r>
    </w:p>
    <w:p>
      <w:pPr>
        <w:pStyle w:val="0"/>
        <w:spacing w:before="200" w:line-rule="auto"/>
        <w:ind w:firstLine="540"/>
        <w:jc w:val="both"/>
      </w:pPr>
      <w:r>
        <w:rPr>
          <w:sz w:val="20"/>
        </w:rPr>
        <w:t xml:space="preserve">Р - общий объем заявленной финансовой потребности муниципальных образований на создание школы креативных индустрий в Министерство культуры Российской Федерации.</w:t>
      </w:r>
    </w:p>
    <w:p>
      <w:pPr>
        <w:pStyle w:val="0"/>
        <w:spacing w:before="200" w:line-rule="auto"/>
        <w:ind w:firstLine="540"/>
        <w:jc w:val="both"/>
      </w:pPr>
      <w:r>
        <w:rPr>
          <w:sz w:val="20"/>
        </w:rPr>
        <w:t xml:space="preserve">Размер бюджетных ассигнований в бюджете муниципального образования на финансовое обеспечение расходных обязательств, в целях которых предоставляется субсидия, определяется с учетом уровня софинансирования расходного обязательства муниципального образования, установленного в </w:t>
      </w:r>
      <w:hyperlink w:history="0" w:anchor="P2511" w:tooltip="10.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м в соответствии с разделом IV Методики распределения дотаций на выравнивание бюджетной обеспеченности муниципальных районов (городских округов), утвержденной Зако...">
        <w:r>
          <w:rPr>
            <w:sz w:val="20"/>
            <w:color w:val="0000ff"/>
          </w:rPr>
          <w:t xml:space="preserve">пункте 10</w:t>
        </w:r>
      </w:hyperlink>
      <w:r>
        <w:rPr>
          <w:sz w:val="20"/>
        </w:rPr>
        <w:t xml:space="preserve"> Порядка.</w:t>
      </w:r>
    </w:p>
    <w:bookmarkStart w:id="2511" w:name="P2511"/>
    <w:bookmarkEnd w:id="2511"/>
    <w:p>
      <w:pPr>
        <w:pStyle w:val="0"/>
        <w:spacing w:before="200" w:line-rule="auto"/>
        <w:ind w:firstLine="540"/>
        <w:jc w:val="both"/>
      </w:pPr>
      <w:r>
        <w:rPr>
          <w:sz w:val="20"/>
        </w:rPr>
        <w:t xml:space="preserve">10. Уровень софинансирования расходного обязательства бюджета i-го муниципального образования автономного округа из средств бюджета автономного округа (Yi)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 на текущий финансовый год, рассчитанным в соответствии с </w:t>
      </w:r>
      <w:hyperlink w:history="0" r:id="rId422" w:tooltip="Закон ХМАО - Югры от 10.11.2008 N 132-оз (ред. от 04.04.2023) &quot;О межбюджетных отношениях в Ханты-Мансийском автономном округе - Югре&quot; (принят Думой Ханты-Мансийского автономного округа - Югры 24.10.2008) (вместе с &quot;Методикой расчета общего объема дотаций на выравнивание бюджетной обеспеченности поселений&quot;, &quot;Методикой расчета субвенций бюджетам муниципальных районов Ханты-Мансийского автономного округа - Югры на исполнение переданных им отдельных государственных полномочий по расчету и предоставлению дотаций {КонсультантПлюс}">
        <w:r>
          <w:rPr>
            <w:sz w:val="20"/>
            <w:color w:val="0000ff"/>
          </w:rPr>
          <w:t xml:space="preserve">разделом IV</w:t>
        </w:r>
      </w:hyperlink>
      <w:r>
        <w:rPr>
          <w:sz w:val="20"/>
        </w:rPr>
        <w:t xml:space="preserve"> Методики распределения дотаций на выравнивание бюджетной обеспеченности муниципальных районов (городских округов), утвержденной Законом автономного округа от 10 ноября 2008 года N 132-оз "О межбюджетных отношениях в Ханты-Мансийском автономном округе - Югре":</w:t>
      </w:r>
    </w:p>
    <w:p>
      <w:pPr>
        <w:pStyle w:val="0"/>
        <w:ind w:firstLine="540"/>
        <w:jc w:val="both"/>
      </w:pPr>
      <w:r>
        <w:rPr>
          <w:sz w:val="20"/>
        </w:rPr>
      </w:r>
    </w:p>
    <w:p>
      <w:pPr>
        <w:pStyle w:val="0"/>
        <w:jc w:val="right"/>
      </w:pPr>
      <w:r>
        <w:rPr>
          <w:sz w:val="20"/>
        </w:rPr>
        <w:t xml:space="preserve">Таблица</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402"/>
        <w:gridCol w:w="1849"/>
        <w:gridCol w:w="3288"/>
      </w:tblGrid>
      <w:tr>
        <w:tc>
          <w:tcPr>
            <w:tcW w:w="454" w:type="dxa"/>
          </w:tcPr>
          <w:p>
            <w:pPr>
              <w:pStyle w:val="0"/>
              <w:jc w:val="center"/>
            </w:pPr>
            <w:r>
              <w:rPr>
                <w:sz w:val="20"/>
              </w:rPr>
              <w:t xml:space="preserve">N п/п</w:t>
            </w:r>
          </w:p>
        </w:tc>
        <w:tc>
          <w:tcPr>
            <w:tcW w:w="3402" w:type="dxa"/>
          </w:tcPr>
          <w:p>
            <w:pPr>
              <w:pStyle w:val="0"/>
              <w:jc w:val="center"/>
            </w:pPr>
            <w:r>
              <w:rPr>
                <w:sz w:val="20"/>
              </w:rPr>
              <w:t xml:space="preserve">Уровень расчетной бюджетной обеспеченности муниципального образования</w:t>
            </w:r>
          </w:p>
        </w:tc>
        <w:tc>
          <w:tcPr>
            <w:tcW w:w="1849" w:type="dxa"/>
          </w:tcPr>
          <w:p>
            <w:pPr>
              <w:pStyle w:val="0"/>
              <w:jc w:val="center"/>
            </w:pPr>
            <w:r>
              <w:rPr>
                <w:sz w:val="20"/>
              </w:rPr>
              <w:t xml:space="preserve">Группа муниципального образования</w:t>
            </w:r>
          </w:p>
        </w:tc>
        <w:tc>
          <w:tcPr>
            <w:tcW w:w="3288" w:type="dxa"/>
          </w:tcPr>
          <w:p>
            <w:pPr>
              <w:pStyle w:val="0"/>
              <w:jc w:val="center"/>
            </w:pPr>
            <w:r>
              <w:rPr>
                <w:sz w:val="20"/>
              </w:rPr>
              <w:t xml:space="preserve">Уровень софинансирования расходного обязательства отдельного муниципального образования из средств бюджета автономного округа (Yi)</w:t>
            </w:r>
          </w:p>
        </w:tc>
      </w:tr>
      <w:tr>
        <w:tc>
          <w:tcPr>
            <w:tcW w:w="454" w:type="dxa"/>
          </w:tcPr>
          <w:p>
            <w:pPr>
              <w:pStyle w:val="0"/>
              <w:jc w:val="center"/>
            </w:pPr>
            <w:r>
              <w:rPr>
                <w:sz w:val="20"/>
              </w:rPr>
              <w:t xml:space="preserve">1</w:t>
            </w:r>
          </w:p>
        </w:tc>
        <w:tc>
          <w:tcPr>
            <w:tcW w:w="3402" w:type="dxa"/>
          </w:tcPr>
          <w:p>
            <w:pPr>
              <w:pStyle w:val="0"/>
              <w:jc w:val="center"/>
            </w:pPr>
            <w:r>
              <w:rPr>
                <w:sz w:val="20"/>
              </w:rPr>
              <w:t xml:space="preserve">2</w:t>
            </w:r>
          </w:p>
        </w:tc>
        <w:tc>
          <w:tcPr>
            <w:tcW w:w="1849" w:type="dxa"/>
          </w:tcPr>
          <w:p>
            <w:pPr>
              <w:pStyle w:val="0"/>
              <w:jc w:val="center"/>
            </w:pPr>
            <w:r>
              <w:rPr>
                <w:sz w:val="20"/>
              </w:rPr>
              <w:t xml:space="preserve">3</w:t>
            </w:r>
          </w:p>
        </w:tc>
        <w:tc>
          <w:tcPr>
            <w:tcW w:w="3288" w:type="dxa"/>
          </w:tcPr>
          <w:p>
            <w:pPr>
              <w:pStyle w:val="0"/>
              <w:jc w:val="center"/>
            </w:pPr>
            <w:r>
              <w:rPr>
                <w:sz w:val="20"/>
              </w:rPr>
              <w:t xml:space="preserve">4</w:t>
            </w:r>
          </w:p>
        </w:tc>
      </w:tr>
      <w:tr>
        <w:tc>
          <w:tcPr>
            <w:tcW w:w="454" w:type="dxa"/>
          </w:tcPr>
          <w:p>
            <w:pPr>
              <w:pStyle w:val="0"/>
            </w:pPr>
            <w:r>
              <w:rPr>
                <w:sz w:val="20"/>
              </w:rPr>
              <w:t xml:space="preserve">1</w:t>
            </w:r>
          </w:p>
        </w:tc>
        <w:tc>
          <w:tcPr>
            <w:tcW w:w="3402" w:type="dxa"/>
          </w:tcPr>
          <w:p>
            <w:pPr>
              <w:pStyle w:val="0"/>
            </w:pPr>
            <w:r>
              <w:rPr>
                <w:sz w:val="20"/>
              </w:rPr>
              <w:t xml:space="preserve">от 0 до 1,300</w:t>
            </w:r>
          </w:p>
        </w:tc>
        <w:tc>
          <w:tcPr>
            <w:tcW w:w="1849" w:type="dxa"/>
          </w:tcPr>
          <w:p>
            <w:pPr>
              <w:pStyle w:val="0"/>
            </w:pPr>
            <w:r>
              <w:rPr>
                <w:sz w:val="20"/>
              </w:rPr>
              <w:t xml:space="preserve">1</w:t>
            </w:r>
          </w:p>
        </w:tc>
        <w:tc>
          <w:tcPr>
            <w:tcW w:w="3288" w:type="dxa"/>
          </w:tcPr>
          <w:p>
            <w:pPr>
              <w:pStyle w:val="0"/>
            </w:pPr>
            <w:r>
              <w:rPr>
                <w:sz w:val="20"/>
              </w:rPr>
              <w:t xml:space="preserve">95%</w:t>
            </w:r>
          </w:p>
        </w:tc>
      </w:tr>
      <w:tr>
        <w:tc>
          <w:tcPr>
            <w:tcW w:w="454" w:type="dxa"/>
          </w:tcPr>
          <w:p>
            <w:pPr>
              <w:pStyle w:val="0"/>
            </w:pPr>
            <w:r>
              <w:rPr>
                <w:sz w:val="20"/>
              </w:rPr>
              <w:t xml:space="preserve">2</w:t>
            </w:r>
          </w:p>
        </w:tc>
        <w:tc>
          <w:tcPr>
            <w:tcW w:w="3402" w:type="dxa"/>
          </w:tcPr>
          <w:p>
            <w:pPr>
              <w:pStyle w:val="0"/>
            </w:pPr>
            <w:r>
              <w:rPr>
                <w:sz w:val="20"/>
              </w:rPr>
              <w:t xml:space="preserve">от 1,301 до 1,500</w:t>
            </w:r>
          </w:p>
        </w:tc>
        <w:tc>
          <w:tcPr>
            <w:tcW w:w="1849" w:type="dxa"/>
          </w:tcPr>
          <w:p>
            <w:pPr>
              <w:pStyle w:val="0"/>
            </w:pPr>
            <w:r>
              <w:rPr>
                <w:sz w:val="20"/>
              </w:rPr>
              <w:t xml:space="preserve">2</w:t>
            </w:r>
          </w:p>
        </w:tc>
        <w:tc>
          <w:tcPr>
            <w:tcW w:w="3288" w:type="dxa"/>
          </w:tcPr>
          <w:p>
            <w:pPr>
              <w:pStyle w:val="0"/>
            </w:pPr>
            <w:r>
              <w:rPr>
                <w:sz w:val="20"/>
              </w:rPr>
              <w:t xml:space="preserve">90%</w:t>
            </w:r>
          </w:p>
        </w:tc>
      </w:tr>
      <w:tr>
        <w:tc>
          <w:tcPr>
            <w:tcW w:w="454" w:type="dxa"/>
          </w:tcPr>
          <w:p>
            <w:pPr>
              <w:pStyle w:val="0"/>
            </w:pPr>
            <w:r>
              <w:rPr>
                <w:sz w:val="20"/>
              </w:rPr>
              <w:t xml:space="preserve">3</w:t>
            </w:r>
          </w:p>
        </w:tc>
        <w:tc>
          <w:tcPr>
            <w:tcW w:w="3402" w:type="dxa"/>
          </w:tcPr>
          <w:p>
            <w:pPr>
              <w:pStyle w:val="0"/>
            </w:pPr>
            <w:r>
              <w:rPr>
                <w:sz w:val="20"/>
              </w:rPr>
              <w:t xml:space="preserve">свыше 1,501</w:t>
            </w:r>
          </w:p>
        </w:tc>
        <w:tc>
          <w:tcPr>
            <w:tcW w:w="1849" w:type="dxa"/>
          </w:tcPr>
          <w:p>
            <w:pPr>
              <w:pStyle w:val="0"/>
            </w:pPr>
            <w:r>
              <w:rPr>
                <w:sz w:val="20"/>
              </w:rPr>
              <w:t xml:space="preserve">3</w:t>
            </w:r>
          </w:p>
        </w:tc>
        <w:tc>
          <w:tcPr>
            <w:tcW w:w="3288" w:type="dxa"/>
          </w:tcPr>
          <w:p>
            <w:pPr>
              <w:pStyle w:val="0"/>
            </w:pPr>
            <w:r>
              <w:rPr>
                <w:sz w:val="20"/>
              </w:rPr>
              <w:t xml:space="preserve">85%</w:t>
            </w:r>
          </w:p>
        </w:tc>
      </w:tr>
    </w:tbl>
    <w:p>
      <w:pPr>
        <w:pStyle w:val="0"/>
        <w:ind w:firstLine="540"/>
        <w:jc w:val="both"/>
      </w:pPr>
      <w:r>
        <w:rPr>
          <w:sz w:val="20"/>
        </w:rPr>
      </w:r>
    </w:p>
    <w:p>
      <w:pPr>
        <w:pStyle w:val="0"/>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pPr>
        <w:pStyle w:val="0"/>
        <w:spacing w:before="200" w:line-rule="auto"/>
        <w:ind w:firstLine="540"/>
        <w:jc w:val="both"/>
      </w:pPr>
      <w:r>
        <w:rPr>
          <w:sz w:val="20"/>
        </w:rPr>
        <w:t xml:space="preserve">11. Предоставление Субсидии муниципальному образованию на условиях софинансирования расходных обязательств из федерального бюджета осуществляется на основании Соглашения, заключаемого в соответствии с типовой формой,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установленного распределением Субсидий между муниципальными образованиями.</w:t>
      </w:r>
    </w:p>
    <w:p>
      <w:pPr>
        <w:pStyle w:val="0"/>
        <w:spacing w:before="200" w:line-rule="auto"/>
        <w:ind w:firstLine="540"/>
        <w:jc w:val="both"/>
      </w:pPr>
      <w:r>
        <w:rPr>
          <w:sz w:val="20"/>
        </w:rPr>
        <w:t xml:space="preserve">12. Соглашение должно содержать информацию, указанную в </w:t>
      </w:r>
      <w:hyperlink w:history="0" r:id="rId42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пункте 10</w:t>
        </w:r>
      </w:hyperlink>
      <w:r>
        <w:rPr>
          <w:sz w:val="20"/>
        </w:rPr>
        <w:t xml:space="preserve"> Правил формирования, предоставления и распределения субсидий из бюджета автономного округа местным бюджетам, утвержденных постановлением Правительства автономного округа от 6 декабря 2019 года N 475-п (далее - Правила предоставления Субсидий).</w:t>
      </w:r>
    </w:p>
    <w:p>
      <w:pPr>
        <w:pStyle w:val="0"/>
        <w:spacing w:before="200" w:line-rule="auto"/>
        <w:ind w:firstLine="540"/>
        <w:jc w:val="both"/>
      </w:pPr>
      <w:r>
        <w:rPr>
          <w:sz w:val="20"/>
        </w:rPr>
        <w:t xml:space="preserve">13. Соглашение (дополнительное соглашение к Соглашению, предусматривающее внесение изменений или его расторжение), если иное не предусмотрено нормативными правовыми актами Российской Федерации, подлежит заключению:</w:t>
      </w:r>
    </w:p>
    <w:p>
      <w:pPr>
        <w:pStyle w:val="0"/>
        <w:spacing w:before="200" w:line-rule="auto"/>
        <w:ind w:firstLine="540"/>
        <w:jc w:val="both"/>
      </w:pPr>
      <w:r>
        <w:rPr>
          <w:sz w:val="20"/>
        </w:rPr>
        <w:t xml:space="preserve">в срок до 15 февраля очередного финансового года - в отношении Субсидии, распределенной законом о бюджете автономного округа на очередной финансовый и плановый период;</w:t>
      </w:r>
    </w:p>
    <w:p>
      <w:pPr>
        <w:pStyle w:val="0"/>
        <w:spacing w:before="200" w:line-rule="auto"/>
        <w:ind w:firstLine="540"/>
        <w:jc w:val="both"/>
      </w:pPr>
      <w:r>
        <w:rPr>
          <w:sz w:val="20"/>
        </w:rPr>
        <w:t xml:space="preserve">не позднее 30 дней после дня вступления в силу закона автономного округа о внесении изменений в закон о бюджете автономного округа на текущий финансовый год и плановый период.</w:t>
      </w:r>
    </w:p>
    <w:p>
      <w:pPr>
        <w:pStyle w:val="0"/>
        <w:spacing w:before="200" w:line-rule="auto"/>
        <w:ind w:firstLine="540"/>
        <w:jc w:val="both"/>
      </w:pPr>
      <w:r>
        <w:rPr>
          <w:sz w:val="20"/>
        </w:rPr>
        <w:t xml:space="preserve">14. Департамент культуры автономного округа (далее - Департамент) предусматривает в Соглашении срок исполнения обязательства, превышающий срок действия доведенных ему лимитов, в случаях, предусмотренных нормативными правовыми актами Правительства автономного округа,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15. В случае внесения в закон о бюджете автономного округа на текущий финансовый год и плановый период и (или) нормативный правовой акт Правительства автономного округа, в том числе в государственную </w:t>
      </w:r>
      <w:hyperlink w:history="0" r:id="rId424"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программу</w:t>
        </w:r>
      </w:hyperlink>
      <w:r>
        <w:rPr>
          <w:sz w:val="20"/>
        </w:rPr>
        <w:t xml:space="preserve"> "Культурное пространство",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pPr>
        <w:pStyle w:val="0"/>
        <w:spacing w:before="200" w:line-rule="auto"/>
        <w:ind w:firstLine="540"/>
        <w:jc w:val="both"/>
      </w:pPr>
      <w:r>
        <w:rPr>
          <w:sz w:val="20"/>
        </w:rPr>
        <w:t xml:space="preserve">16.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w:t>
      </w:r>
      <w:hyperlink w:history="0" r:id="rId425" w:tooltip="Постановление Правительства ХМАО - Югры от 31.10.2021 N 470-п (ред. от 13.10.2023) &quot;О государственной программе Ханты-Мансийского автономного округа - Югры &quot;Культурное пространство&quot; {КонсультантПлюс}">
        <w:r>
          <w:rPr>
            <w:sz w:val="20"/>
            <w:color w:val="0000ff"/>
          </w:rPr>
          <w:t xml:space="preserve">программы</w:t>
        </w:r>
      </w:hyperlink>
      <w:r>
        <w:rPr>
          <w:sz w:val="20"/>
        </w:rPr>
        <w:t xml:space="preserve"> "Культурное пространство", а также в случае сокращения размера Субсидии.</w:t>
      </w:r>
    </w:p>
    <w:p>
      <w:pPr>
        <w:pStyle w:val="0"/>
        <w:spacing w:before="200" w:line-rule="auto"/>
        <w:ind w:firstLine="540"/>
        <w:jc w:val="both"/>
      </w:pPr>
      <w:r>
        <w:rPr>
          <w:sz w:val="20"/>
        </w:rPr>
        <w:t xml:space="preserve">17.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(в размере фактической потребности), источником финансового обеспечения которых являются средства Субсидии.</w:t>
      </w:r>
    </w:p>
    <w:p>
      <w:pPr>
        <w:pStyle w:val="0"/>
        <w:spacing w:before="200" w:line-rule="auto"/>
        <w:ind w:firstLine="540"/>
        <w:jc w:val="both"/>
      </w:pPr>
      <w:r>
        <w:rPr>
          <w:sz w:val="20"/>
        </w:rPr>
        <w:t xml:space="preserve">18. Результатом использования субсидий является создание школ креативных индустрий в количестве, установленном Соглашением.</w:t>
      </w:r>
    </w:p>
    <w:p>
      <w:pPr>
        <w:pStyle w:val="0"/>
        <w:spacing w:before="200" w:line-rule="auto"/>
        <w:ind w:firstLine="540"/>
        <w:jc w:val="both"/>
      </w:pPr>
      <w:r>
        <w:rPr>
          <w:sz w:val="20"/>
        </w:rPr>
        <w:t xml:space="preserve">Оценку эффективности использования Субсидии осуществляет Департамент на основе отчета о выполнении муниципальным образованием взятых на себя обязательств, достижения целевых показателей, заявленных в Соглашении.</w:t>
      </w:r>
    </w:p>
    <w:p>
      <w:pPr>
        <w:pStyle w:val="0"/>
        <w:spacing w:before="200" w:line-rule="auto"/>
        <w:ind w:firstLine="540"/>
        <w:jc w:val="both"/>
      </w:pPr>
      <w:r>
        <w:rPr>
          <w:sz w:val="20"/>
        </w:rPr>
        <w:t xml:space="preserve">19. Субсидия, не использованная на конец финансового года, подлежит возврату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20. В случае если неиспользованные остатки Субсидии не перечислены в доход бюджета автономного округа, они подлежат взысканию в доход бюджета автономного округа в порядке, установленном Департаментом финансов автономного округа.</w:t>
      </w:r>
    </w:p>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не достигнуты значения результатов ее использования, установленные в Соглашении, и указанные значения не достигнуты в срок до 10 февраля года, следующего за годом предоставления Субсидии, она подлежит возврату в бюджет автономного округа в срок до 1 марта года, следующего за годом их предоставления, в размере, определенном Департаментом, в соответствии с </w:t>
      </w:r>
      <w:hyperlink w:history="0" r:id="rId426"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23</w:t>
        </w:r>
      </w:hyperlink>
      <w:r>
        <w:rPr>
          <w:sz w:val="20"/>
        </w:rPr>
        <w:t xml:space="preserve"> Правил предоставления Субсидий.</w:t>
      </w:r>
    </w:p>
    <w:p>
      <w:pPr>
        <w:pStyle w:val="0"/>
        <w:spacing w:before="200" w:line-rule="auto"/>
        <w:ind w:firstLine="540"/>
        <w:jc w:val="both"/>
      </w:pPr>
      <w:r>
        <w:rPr>
          <w:sz w:val="20"/>
        </w:rPr>
        <w:t xml:space="preserve">22. В случае если муниципальным образованием по состоянию на 31 декабря года предоставления Субсидии допущено нарушение соблюдения уровня софинансирования, объем средств, подлежащий возврату из местного бюджета в бюджет автономного округа в срок до 1 марта года, следующего за годом предоставления Субсидии, рассчитывает Департамент в соответствии с </w:t>
      </w:r>
      <w:hyperlink w:history="0" r:id="rId427"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пунктом 25</w:t>
        </w:r>
      </w:hyperlink>
      <w:r>
        <w:rPr>
          <w:sz w:val="20"/>
        </w:rPr>
        <w:t xml:space="preserve"> Правил предоставления Субсидий.</w:t>
      </w:r>
    </w:p>
    <w:p>
      <w:pPr>
        <w:pStyle w:val="0"/>
        <w:spacing w:before="200" w:line-rule="auto"/>
        <w:ind w:firstLine="540"/>
        <w:jc w:val="both"/>
      </w:pPr>
      <w:r>
        <w:rPr>
          <w:sz w:val="20"/>
        </w:rPr>
        <w:t xml:space="preserve">23. В случае нецелевого использования Субсидии и (или) нарушения условий ее предоставления (расходования) к муниципальному образованию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pPr>
        <w:pStyle w:val="0"/>
        <w:spacing w:before="200" w:line-rule="auto"/>
        <w:ind w:firstLine="540"/>
        <w:jc w:val="both"/>
      </w:pPr>
      <w:r>
        <w:rPr>
          <w:sz w:val="20"/>
        </w:rPr>
        <w:t xml:space="preserve">В случае непредставления отчетов, предусмотренных Соглашением, Департамент направляет главе (главе местной администрации) муниципального образования предложение об инициировании проведения в установленном порядке служебной проверки с целью привлечения виновных должностных лиц, ответственных за их представление, к дисциплинарной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24. Ответственность за достоверность представляемых в Департамент документов, предусмотренных Порядком и Соглашением, несет муниципальное образование.</w:t>
      </w:r>
    </w:p>
    <w:p>
      <w:pPr>
        <w:pStyle w:val="0"/>
        <w:spacing w:before="200" w:line-rule="auto"/>
        <w:ind w:firstLine="540"/>
        <w:jc w:val="both"/>
      </w:pPr>
      <w:r>
        <w:rPr>
          <w:sz w:val="20"/>
        </w:rPr>
        <w:t xml:space="preserve">25. Основанием для освобождения муниципального образования, допустившего нарушение обязательств по достижению значений результатов исполнения мероприятий, установленных в Соглашении, в целях софинансирования которых предоставляется Субсидия, а также нарушение уровня софинансирования, от применения мер ответственности, предусмотренных в </w:t>
      </w:r>
      <w:hyperlink w:history="0" r:id="rId428"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пунктах 23</w:t>
        </w:r>
      </w:hyperlink>
      <w:r>
        <w:rPr>
          <w:sz w:val="20"/>
        </w:rPr>
        <w:t xml:space="preserve">, </w:t>
      </w:r>
      <w:hyperlink w:history="0" r:id="rId429"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которые определены </w:t>
      </w:r>
      <w:hyperlink w:history="0" r:id="rId430"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абзацем третьим пункта 27</w:t>
        </w:r>
      </w:hyperlink>
      <w:r>
        <w:rPr>
          <w:sz w:val="20"/>
        </w:rPr>
        <w:t xml:space="preserve"> Правил предоставления Субсидий.</w:t>
      </w:r>
    </w:p>
    <w:p>
      <w:pPr>
        <w:pStyle w:val="0"/>
        <w:spacing w:before="200" w:line-rule="auto"/>
        <w:ind w:firstLine="540"/>
        <w:jc w:val="both"/>
      </w:pPr>
      <w:r>
        <w:rPr>
          <w:sz w:val="20"/>
        </w:rPr>
        <w:t xml:space="preserve">26. Документы, подтверждающие наступление обстоятельств непреодолимой силы, препятствующих исполнению соответствующих обязательств, и информация о предпринимаемых мерах по устранению нарушения и персональной ответственности должностных лиц, ответственных за такое нарушение, должны быть представлены главой муниципального образования (главой местной администрации), допустившего нарушение соответствующих обязательств, Департаменту не позднее 10 февраля года, следующего за годом предоставления Субсидии.</w:t>
      </w:r>
    </w:p>
    <w:p>
      <w:pPr>
        <w:pStyle w:val="0"/>
        <w:spacing w:before="200" w:line-rule="auto"/>
        <w:ind w:firstLine="540"/>
        <w:jc w:val="both"/>
      </w:pPr>
      <w:r>
        <w:rPr>
          <w:sz w:val="20"/>
        </w:rPr>
        <w:t xml:space="preserve">27. В случае отсутствия оснований для освобождения муниципального образования от применения мер ответственности Департамент не позднее 1 марта года, следующего за годом предоставления Субсидии, направляет в финансовый орган муниципального образования требование по возврату из местного бюджета в бюджет автономного округа объема средств, рассчитанного в соответствии с </w:t>
      </w:r>
      <w:hyperlink w:history="0" r:id="rId431"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пунктами 23</w:t>
        </w:r>
      </w:hyperlink>
      <w:r>
        <w:rPr>
          <w:sz w:val="20"/>
        </w:rPr>
        <w:t xml:space="preserve">, </w:t>
      </w:r>
      <w:hyperlink w:history="0" r:id="rId432"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25</w:t>
        </w:r>
      </w:hyperlink>
      <w:r>
        <w:rPr>
          <w:sz w:val="20"/>
        </w:rPr>
        <w:t xml:space="preserve"> Правил предоставления Субсидий, с указанием сроков их возврата в соответствии с </w:t>
      </w:r>
      <w:hyperlink w:history="0" r:id="rId433" w:tooltip="Постановление Правительства ХМАО - Югры от 06.12.2019 N 475-п (ред. от 27.10.2023) &quot;О Правилах формирования, предоставления и распределения субсидий из бюджета Ханты-Мансийского автономного округа - Югры местным бюджетам&quot; {КонсультантПлюс}">
        <w:r>
          <w:rPr>
            <w:sz w:val="20"/>
            <w:color w:val="0000ff"/>
          </w:rPr>
          <w:t xml:space="preserve">Правилами</w:t>
        </w:r>
      </w:hyperlink>
      <w:r>
        <w:rPr>
          <w:sz w:val="20"/>
        </w:rPr>
        <w:t xml:space="preserve"> предоставления Субсидий (далее - Требование по возврату).</w:t>
      </w:r>
    </w:p>
    <w:p>
      <w:pPr>
        <w:pStyle w:val="0"/>
        <w:spacing w:before="200" w:line-rule="auto"/>
        <w:ind w:firstLine="540"/>
        <w:jc w:val="both"/>
      </w:pPr>
      <w:r>
        <w:rPr>
          <w:sz w:val="20"/>
        </w:rPr>
        <w:t xml:space="preserve">Контроль соблюдения муниципальным образованием использования иных межбюджетных трансфертов осуществляет Департамент и уполномоченные органы государственного финансового контроля.</w:t>
      </w:r>
    </w:p>
    <w:p>
      <w:pPr>
        <w:pStyle w:val="0"/>
        <w:spacing w:before="200" w:line-rule="auto"/>
        <w:ind w:firstLine="540"/>
        <w:jc w:val="both"/>
      </w:pPr>
      <w:r>
        <w:rPr>
          <w:sz w:val="20"/>
        </w:rPr>
        <w:t xml:space="preserve">28. В случае полного или частичного неперечисления объема средств, указанного в Требовании по возврату, в течение 5 рабочих дней со дня истечения установленного срока возврата Департамент представляет в Департамент финансов автономного округа информацию о неисполнении Требования по возврату с приложением его копии.</w:t>
      </w:r>
    </w:p>
    <w:p>
      <w:pPr>
        <w:pStyle w:val="0"/>
        <w:spacing w:before="200" w:line-rule="auto"/>
        <w:ind w:firstLine="540"/>
        <w:jc w:val="both"/>
      </w:pPr>
      <w:r>
        <w:rPr>
          <w:sz w:val="20"/>
        </w:rPr>
        <w:t xml:space="preserve">29. Сведения о предоставляемой из бюджета автономного округа Субсидии, а также об ее использовании подлежат включению в реестр договоров (соглашений) о предоставлении субсидий, бюджетных инвестиций, межбюджетных трансфертов, ведение которого осуществляется в порядке, устанавливаемом Департаментом финансов автономного округа (далее - Реестр соглашений).</w:t>
      </w:r>
    </w:p>
    <w:p>
      <w:pPr>
        <w:pStyle w:val="0"/>
        <w:spacing w:before="200" w:line-rule="auto"/>
        <w:ind w:firstLine="540"/>
        <w:jc w:val="both"/>
      </w:pPr>
      <w:r>
        <w:rPr>
          <w:sz w:val="20"/>
        </w:rPr>
        <w:t xml:space="preserve">Соглашения и дополнительные соглашения к ним действуют со дня внесения сведений о них в Реестр соглашений.</w:t>
      </w:r>
    </w:p>
    <w:p>
      <w:pPr>
        <w:pStyle w:val="0"/>
        <w:spacing w:before="200" w:line-rule="auto"/>
        <w:ind w:firstLine="540"/>
        <w:jc w:val="both"/>
      </w:pPr>
      <w:r>
        <w:rPr>
          <w:sz w:val="20"/>
        </w:rPr>
        <w:t xml:space="preserve">30.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требованиям, указанным в </w:t>
      </w:r>
      <w:hyperlink w:history="0" w:anchor="P2487" w:tooltip="5. Создание школ креативных индустрий включает требования, установленные пунктом 5 Правил.">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несоответствие условиям, указанным в </w:t>
      </w:r>
      <w:hyperlink w:history="0" w:anchor="P2496" w:tooltip="7. Условиями предоставления Субсидии являются:">
        <w:r>
          <w:rPr>
            <w:sz w:val="20"/>
            <w:color w:val="0000ff"/>
          </w:rPr>
          <w:t xml:space="preserve">пункте 7</w:t>
        </w:r>
      </w:hyperlink>
      <w:r>
        <w:rPr>
          <w:sz w:val="20"/>
        </w:rPr>
        <w:t xml:space="preserve"> Порядка;</w:t>
      </w:r>
    </w:p>
    <w:p>
      <w:pPr>
        <w:pStyle w:val="0"/>
        <w:spacing w:before="200" w:line-rule="auto"/>
        <w:ind w:firstLine="540"/>
        <w:jc w:val="both"/>
      </w:pPr>
      <w:r>
        <w:rPr>
          <w:sz w:val="20"/>
        </w:rPr>
        <w:t xml:space="preserve">несоответствие критериям отбора, указанным в </w:t>
      </w:r>
      <w:hyperlink w:history="0" w:anchor="P2488" w:tooltip="6. Критериями отбора муниципальных образований являются:">
        <w:r>
          <w:rPr>
            <w:sz w:val="20"/>
            <w:color w:val="0000ff"/>
          </w:rPr>
          <w:t xml:space="preserve">пункте 6</w:t>
        </w:r>
      </w:hyperlink>
      <w:r>
        <w:rPr>
          <w:sz w:val="20"/>
        </w:rPr>
        <w:t xml:space="preserve"> Порядка.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30.12.2021 N 640-п</w:t>
            <w:br/>
            <w:t>(ред. от 06.10.2023)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30.12.2021 N 640-п</w:t>
            <w:br/>
            <w:t>(ред. от 06.10.2023)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8229339C641C37AF1002A4ED790781B88865CBFC7EE651E6F2615F6B543F302ED2220BE64997805A8BA54F9CD7A90BBA7B329E164E5E7BD701097EX0GEL" TargetMode = "External"/>
	<Relationship Id="rId8" Type="http://schemas.openxmlformats.org/officeDocument/2006/relationships/hyperlink" Target="consultantplus://offline/ref=918229339C641C37AF1002A4ED790781B88865CBFC7EE65CE4F2615F6B543F302ED2220BE64997805A8BA54F9CD7A90BBA7B329E164E5E7BD701097EX0GEL" TargetMode = "External"/>
	<Relationship Id="rId9" Type="http://schemas.openxmlformats.org/officeDocument/2006/relationships/hyperlink" Target="consultantplus://offline/ref=918229339C641C37AF1002A4ED790781B88865CBFC7FEF54EEF6615F6B543F302ED2220BE64997805A8AAD4698D7A90BBA7B329E164E5E7BD701097EX0GEL" TargetMode = "External"/>
	<Relationship Id="rId10" Type="http://schemas.openxmlformats.org/officeDocument/2006/relationships/hyperlink" Target="consultantplus://offline/ref=918229339C641C37AF1002A4ED790781B88865CBFC7FE853E5F4615F6B543F302ED2220BE64997805A8AA5499CD7A90BBA7B329E164E5E7BD701097EX0GEL" TargetMode = "External"/>
	<Relationship Id="rId11" Type="http://schemas.openxmlformats.org/officeDocument/2006/relationships/hyperlink" Target="consultantplus://offline/ref=918229339C641C37AF1002A4ED790781B88865CBFC7CEC51E0F8615F6B543F302ED2220BE64997805A8BA54D98D7A90BBA7B329E164E5E7BD701097EX0GEL" TargetMode = "External"/>
	<Relationship Id="rId12" Type="http://schemas.openxmlformats.org/officeDocument/2006/relationships/hyperlink" Target="consultantplus://offline/ref=918229339C641C37AF1002A4ED790781B88865CBFC7CE852EEF6615F6B543F302ED2220BE64997805A8BA54F9CD7A90BBA7B329E164E5E7BD701097EX0GEL" TargetMode = "External"/>
	<Relationship Id="rId13" Type="http://schemas.openxmlformats.org/officeDocument/2006/relationships/hyperlink" Target="consultantplus://offline/ref=918229339C641C37AF1002A4ED790781B88865CBFC7DEF54E7F3615F6B543F302ED2220BE64997805A8BA54F9CD7A90BBA7B329E164E5E7BD701097EX0GEL" TargetMode = "External"/>
	<Relationship Id="rId14" Type="http://schemas.openxmlformats.org/officeDocument/2006/relationships/hyperlink" Target="consultantplus://offline/ref=918229339C641C37AF1002A4ED790781B88865CBFC73EF55EFF3615F6B543F302ED2220BE64997805A8BA54D99D7A90BBA7B329E164E5E7BD701097EX0GEL" TargetMode = "External"/>
	<Relationship Id="rId15" Type="http://schemas.openxmlformats.org/officeDocument/2006/relationships/hyperlink" Target="consultantplus://offline/ref=918229339C641C37AF1002A4ED790781B88865CBFC72E650E0F3615F6B543F302ED2220BE64997805A89A0489DD7A90BBA7B329E164E5E7BD701097EX0GEL" TargetMode = "External"/>
	<Relationship Id="rId16" Type="http://schemas.openxmlformats.org/officeDocument/2006/relationships/hyperlink" Target="consultantplus://offline/ref=918229339C641C37AF1002A4ED790781B88865CBFC72EE56EEF8615F6B543F302ED2220BE64997825880F11EDD89F058F8303E9D0E525F78XCGAL" TargetMode = "External"/>
	<Relationship Id="rId17" Type="http://schemas.openxmlformats.org/officeDocument/2006/relationships/hyperlink" Target="consultantplus://offline/ref=918229339C641C37AF1002A4ED790781B88865CBFC72E754E1F3615F6B543F302ED2220BF449CF8C588DBB4E98C2FF5AFCX2GDL" TargetMode = "External"/>
	<Relationship Id="rId18" Type="http://schemas.openxmlformats.org/officeDocument/2006/relationships/hyperlink" Target="consultantplus://offline/ref=918229339C641C37AF1002A4ED790781B88865CBFC7FEF54EEF6615F6B543F302ED2220BE64997805A8AAD469AD7A90BBA7B329E164E5E7BD701097EX0GEL" TargetMode = "External"/>
	<Relationship Id="rId19" Type="http://schemas.openxmlformats.org/officeDocument/2006/relationships/hyperlink" Target="consultantplus://offline/ref=918229339C641C37AF1002A4ED790781B88865CBFC7FEF54EEF6615F6B543F302ED2220BE64997805A8AAD469DD7A90BBA7B329E164E5E7BD701097EX0GEL" TargetMode = "External"/>
	<Relationship Id="rId20" Type="http://schemas.openxmlformats.org/officeDocument/2006/relationships/hyperlink" Target="consultantplus://offline/ref=918229339C641C37AF1002A4ED790781B88865CBFC7FEF54EEF6615F6B543F302ED2220BE64997805A8AAD469FD7A90BBA7B329E164E5E7BD701097EX0GEL" TargetMode = "External"/>
	<Relationship Id="rId21" Type="http://schemas.openxmlformats.org/officeDocument/2006/relationships/hyperlink" Target="consultantplus://offline/ref=918229339C641C37AF1002A4ED790781B88865CBFC73EF55EFF3615F6B543F302ED2220BE64997805A8BA54D99D7A90BBA7B329E164E5E7BD701097EX0GEL" TargetMode = "External"/>
	<Relationship Id="rId22" Type="http://schemas.openxmlformats.org/officeDocument/2006/relationships/hyperlink" Target="consultantplus://offline/ref=918229339C641C37AF1002A4ED790781B88865CBFC7FEF54EEF6615F6B543F302ED2220BE64997805A8AAD4691D7A90BBA7B329E164E5E7BD701097EX0GEL" TargetMode = "External"/>
	<Relationship Id="rId23" Type="http://schemas.openxmlformats.org/officeDocument/2006/relationships/hyperlink" Target="consultantplus://offline/ref=918229339C641C37AF1002A4ED790781B88865CBFC7FEF54EEF6615F6B543F302ED2220BE64997805A8AAC4F98D7A90BBA7B329E164E5E7BD701097EX0GEL" TargetMode = "External"/>
	<Relationship Id="rId24" Type="http://schemas.openxmlformats.org/officeDocument/2006/relationships/hyperlink" Target="consultantplus://offline/ref=918229339C641C37AF1002A4ED790781B88865CBFC7FEF54EEF6615F6B543F302ED2220BE64997805A8AAC4F9AD7A90BBA7B329E164E5E7BD701097EX0GEL" TargetMode = "External"/>
	<Relationship Id="rId25" Type="http://schemas.openxmlformats.org/officeDocument/2006/relationships/hyperlink" Target="consultantplus://offline/ref=918229339C641C37AF1002A4ED790781B88865CBFC7FEF54EEF6615F6B543F302ED2220BE64997805A8AAC4F9DD7A90BBA7B329E164E5E7BD701097EX0GEL" TargetMode = "External"/>
	<Relationship Id="rId26" Type="http://schemas.openxmlformats.org/officeDocument/2006/relationships/hyperlink" Target="consultantplus://offline/ref=918229339C641C37AF1002A4ED790781B88865CBFC7FEF54EEF6615F6B543F302ED2220BE64997805A8AAC4F9CD7A90BBA7B329E164E5E7BD701097EX0GEL" TargetMode = "External"/>
	<Relationship Id="rId27" Type="http://schemas.openxmlformats.org/officeDocument/2006/relationships/hyperlink" Target="consultantplus://offline/ref=918229339C641C37AF1002A4ED790781B88865CBFC7FEF54EEF6615F6B543F302ED2220BE64997805A8AAC4F9FD7A90BBA7B329E164E5E7BD701097EX0GEL" TargetMode = "External"/>
	<Relationship Id="rId28" Type="http://schemas.openxmlformats.org/officeDocument/2006/relationships/hyperlink" Target="consultantplus://offline/ref=918229339C641C37AF1002A4ED790781B88865CBFC7FEF54EEF6615F6B543F302ED2220BE64997805A8AAC4F91D7A90BBA7B329E164E5E7BD701097EX0GEL" TargetMode = "External"/>
	<Relationship Id="rId29" Type="http://schemas.openxmlformats.org/officeDocument/2006/relationships/hyperlink" Target="consultantplus://offline/ref=918229339C641C37AF1002A4ED790781B88865CBFC7DEF54E7F3615F6B543F302ED2220BE64997805A8BA54F9ED7A90BBA7B329E164E5E7BD701097EX0GEL" TargetMode = "External"/>
	<Relationship Id="rId30" Type="http://schemas.openxmlformats.org/officeDocument/2006/relationships/hyperlink" Target="consultantplus://offline/ref=918229339C641C37AF1002A4ED790781B88865CBFC73EF55EFF3615F6B543F302ED2220BE64997805A8BA54D99D7A90BBA7B329E164E5E7BD701097EX0GEL" TargetMode = "External"/>
	<Relationship Id="rId31" Type="http://schemas.openxmlformats.org/officeDocument/2006/relationships/hyperlink" Target="consultantplus://offline/ref=918229339C641C37AF1002A4ED790781B88865CBFC7EE65CE4F2615F6B543F302ED2220BE64997805A8BA54F9FD7A90BBA7B329E164E5E7BD701097EX0GEL" TargetMode = "External"/>
	<Relationship Id="rId32" Type="http://schemas.openxmlformats.org/officeDocument/2006/relationships/hyperlink" Target="consultantplus://offline/ref=918229339C641C37AF1002A4ED790781B88865CBFC7FE853E5F4615F6B543F302ED2220BE64997805A8AA5499FD7A90BBA7B329E164E5E7BD701097EX0GEL" TargetMode = "External"/>
	<Relationship Id="rId33" Type="http://schemas.openxmlformats.org/officeDocument/2006/relationships/hyperlink" Target="consultantplus://offline/ref=918229339C641C37AF1002A4ED790781B88865CBFC7DEF54E7F3615F6B543F302ED2220BE64997805A8BA54F91D7A90BBA7B329E164E5E7BD701097EX0GEL" TargetMode = "External"/>
	<Relationship Id="rId34" Type="http://schemas.openxmlformats.org/officeDocument/2006/relationships/hyperlink" Target="consultantplus://offline/ref=918229339C641C37AF1002A4ED790781B88865CBFC72E754E1F3615F6B543F302ED2220BE64997805A8BA54E9BD7A90BBA7B329E164E5E7BD701097EX0GEL" TargetMode = "External"/>
	<Relationship Id="rId35" Type="http://schemas.openxmlformats.org/officeDocument/2006/relationships/hyperlink" Target="consultantplus://offline/ref=918229339C641C37AF1002A4ED790781B88865CBFC7EE852E5F8615F6B543F302ED2220BF449CF8C588DBB4E98C2FF5AFCX2GDL" TargetMode = "External"/>
	<Relationship Id="rId36" Type="http://schemas.openxmlformats.org/officeDocument/2006/relationships/hyperlink" Target="consultantplus://offline/ref=918229339C641C37AF1002A4ED790781B88865CBFF72EA53E6F4615F6B543F302ED2220BF449CF8C588DBB4E98C2FF5AFCX2GDL" TargetMode = "External"/>
	<Relationship Id="rId37" Type="http://schemas.openxmlformats.org/officeDocument/2006/relationships/hyperlink" Target="consultantplus://offline/ref=918229339C641C37AF1002A4ED790781B88865CBFF72E85DE7F1615F6B543F302ED2220BF449CF8C588DBB4E98C2FF5AFCX2GDL" TargetMode = "External"/>
	<Relationship Id="rId38" Type="http://schemas.openxmlformats.org/officeDocument/2006/relationships/hyperlink" Target="consultantplus://offline/ref=918229339C641C37AF1002A4ED790781B88865CBFF72E656E0F0615F6B543F302ED2220BF449CF8C588DBB4E98C2FF5AFCX2GDL" TargetMode = "External"/>
	<Relationship Id="rId39" Type="http://schemas.openxmlformats.org/officeDocument/2006/relationships/hyperlink" Target="consultantplus://offline/ref=918229339C641C37AF1002A4ED790781B88865CBFF73EE56E3F3615F6B543F302ED2220BF449CF8C588DBB4E98C2FF5AFCX2GDL" TargetMode = "External"/>
	<Relationship Id="rId40" Type="http://schemas.openxmlformats.org/officeDocument/2006/relationships/hyperlink" Target="consultantplus://offline/ref=918229339C641C37AF1002A4ED790781B88865CBFF73EA53E2F0615F6B543F302ED2220BF449CF8C588DBB4E98C2FF5AFCX2GDL" TargetMode = "External"/>
	<Relationship Id="rId41" Type="http://schemas.openxmlformats.org/officeDocument/2006/relationships/hyperlink" Target="consultantplus://offline/ref=918229339C641C37AF1002A4ED790781B88865CBFF73E65DE3F4615F6B543F302ED2220BF449CF8C588DBB4E98C2FF5AFCX2GDL" TargetMode = "External"/>
	<Relationship Id="rId42" Type="http://schemas.openxmlformats.org/officeDocument/2006/relationships/hyperlink" Target="consultantplus://offline/ref=918229339C641C37AF1002A4ED790781B88865CBFF73E750E6F2615F6B543F302ED2220BF449CF8C588DBB4E98C2FF5AFCX2GDL" TargetMode = "External"/>
	<Relationship Id="rId43" Type="http://schemas.openxmlformats.org/officeDocument/2006/relationships/hyperlink" Target="consultantplus://offline/ref=918229339C641C37AF1002A4ED790781B88865CBFC7AEC51E6F9615F6B543F302ED2220BF449CF8C588DBB4E98C2FF5AFCX2GDL" TargetMode = "External"/>
	<Relationship Id="rId44" Type="http://schemas.openxmlformats.org/officeDocument/2006/relationships/hyperlink" Target="consultantplus://offline/ref=918229339C641C37AF1002A4ED790781B88865CBFC7AE950E7F3615F6B543F302ED2220BF449CF8C588DBB4E98C2FF5AFCX2GDL" TargetMode = "External"/>
	<Relationship Id="rId45" Type="http://schemas.openxmlformats.org/officeDocument/2006/relationships/hyperlink" Target="consultantplus://offline/ref=918229339C641C37AF1002A4ED790781B88865CBFC7AE755E1F1615F6B543F302ED2220BF449CF8C588DBB4E98C2FF5AFCX2GDL" TargetMode = "External"/>
	<Relationship Id="rId46" Type="http://schemas.openxmlformats.org/officeDocument/2006/relationships/hyperlink" Target="consultantplus://offline/ref=918229339C641C37AF1002A4ED790781B88865CBFC7BEF57E5F3615F6B543F302ED2220BF449CF8C588DBB4E98C2FF5AFCX2GDL" TargetMode = "External"/>
	<Relationship Id="rId47" Type="http://schemas.openxmlformats.org/officeDocument/2006/relationships/hyperlink" Target="consultantplus://offline/ref=918229339C641C37AF1002A4ED790781B88865CBFC7BEF53E1F7615F6B543F302ED2220BF449CF8C588DBB4E98C2FF5AFCX2GDL" TargetMode = "External"/>
	<Relationship Id="rId48" Type="http://schemas.openxmlformats.org/officeDocument/2006/relationships/hyperlink" Target="consultantplus://offline/ref=918229339C641C37AF1002A4ED790781B88865CBFC78EE55E3F7615F6B543F302ED2220BF449CF8C588DBB4E98C2FF5AFCX2GDL" TargetMode = "External"/>
	<Relationship Id="rId49" Type="http://schemas.openxmlformats.org/officeDocument/2006/relationships/hyperlink" Target="consultantplus://offline/ref=918229339C641C37AF1002A4ED790781B88865CBFC78EC56EEF1615F6B543F302ED2220BF449CF8C588DBB4E98C2FF5AFCX2GDL" TargetMode = "External"/>
	<Relationship Id="rId50" Type="http://schemas.openxmlformats.org/officeDocument/2006/relationships/hyperlink" Target="consultantplus://offline/ref=918229339C641C37AF1002A4ED790781B88865CBFC78ED52EEF3615F6B543F302ED2220BF449CF8C588DBB4E98C2FF5AFCX2GDL" TargetMode = "External"/>
	<Relationship Id="rId51" Type="http://schemas.openxmlformats.org/officeDocument/2006/relationships/hyperlink" Target="consultantplus://offline/ref=918229339C641C37AF1002A4ED790781B88865CBFC78E653E5F7615F6B543F302ED2220BF449CF8C588DBB4E98C2FF5AFCX2GDL" TargetMode = "External"/>
	<Relationship Id="rId52" Type="http://schemas.openxmlformats.org/officeDocument/2006/relationships/hyperlink" Target="consultantplus://offline/ref=918229339C641C37AF1002A4ED790781B88865CBFC79EE54E2F1615F6B543F302ED2220BF449CF8C588DBB4E98C2FF5AFCX2GDL" TargetMode = "External"/>
	<Relationship Id="rId53" Type="http://schemas.openxmlformats.org/officeDocument/2006/relationships/hyperlink" Target="consultantplus://offline/ref=918229339C641C37AF1002A4ED790781B88865CBFC79EE5DE1F5615F6B543F302ED2220BF449CF8C588DBB4E98C2FF5AFCX2GDL" TargetMode = "External"/>
	<Relationship Id="rId54" Type="http://schemas.openxmlformats.org/officeDocument/2006/relationships/hyperlink" Target="consultantplus://offline/ref=918229339C641C37AF1002A4ED790781B88865CBFC7EEF5DE0F0615F6B543F302ED2220BF449CF8C588DBB4E98C2FF5AFCX2GDL" TargetMode = "External"/>
	<Relationship Id="rId55" Type="http://schemas.openxmlformats.org/officeDocument/2006/relationships/hyperlink" Target="consultantplus://offline/ref=918229339C641C37AF1002A4ED790781B88865CBFC7EEB5CE3F7615F6B543F302ED2220BF449CF8C588DBB4E98C2FF5AFCX2GDL" TargetMode = "External"/>
	<Relationship Id="rId56" Type="http://schemas.openxmlformats.org/officeDocument/2006/relationships/hyperlink" Target="consultantplus://offline/ref=918229339C641C37AF1002A4ED790781B88865CBFC7FEF54EEF6615F6B543F302ED2220BE64997805A8AAC4E9DD7A90BBA7B329E164E5E7BD701097EX0GEL" TargetMode = "External"/>
	<Relationship Id="rId57" Type="http://schemas.openxmlformats.org/officeDocument/2006/relationships/hyperlink" Target="consultantplus://offline/ref=918229339C641C37AF1002A4ED790781B88865CBFC7CEC51E0F8615F6B543F302ED2220BE64997805A8BA54D9BD7A90BBA7B329E164E5E7BD701097EX0GEL" TargetMode = "External"/>
	<Relationship Id="rId58" Type="http://schemas.openxmlformats.org/officeDocument/2006/relationships/hyperlink" Target="consultantplus://offline/ref=918229339C641C37AF1002A4ED790781B88865CBFC72E650E0F3615F6B543F302ED2220BE64997805A89A0489CD7A90BBA7B329E164E5E7BD701097EX0GEL" TargetMode = "External"/>
	<Relationship Id="rId59" Type="http://schemas.openxmlformats.org/officeDocument/2006/relationships/hyperlink" Target="consultantplus://offline/ref=918229339C641C37AF1002A4ED790781B88865CBFC72E754E1F3615F6B543F302ED2220BE64997805A8AA34F90D7A90BBA7B329E164E5E7BD701097EX0GEL" TargetMode = "External"/>
	<Relationship Id="rId60" Type="http://schemas.openxmlformats.org/officeDocument/2006/relationships/hyperlink" Target="consultantplus://offline/ref=918229339C641C37AF1002A4ED790781B88865CBFC7FEF54EEF6615F6B543F302ED2220BE64997805A8AAC4E91D7A90BBA7B329E164E5E7BD701097EX0GEL" TargetMode = "External"/>
	<Relationship Id="rId61" Type="http://schemas.openxmlformats.org/officeDocument/2006/relationships/hyperlink" Target="consultantplus://offline/ref=918229339C641C37AF1002A4ED790781B88865CBFC7FE652E5F9615F6B543F302ED2220BF449CF8C588DBB4E98C2FF5AFCX2GDL" TargetMode = "External"/>
	<Relationship Id="rId62" Type="http://schemas.openxmlformats.org/officeDocument/2006/relationships/hyperlink" Target="consultantplus://offline/ref=918229339C641C37AF1002A4ED790781B88865CBFC72E650E0F3615F6B543F302ED2220BE64997805A89A0489FD7A90BBA7B329E164E5E7BD701097EX0GEL" TargetMode = "External"/>
	<Relationship Id="rId63" Type="http://schemas.openxmlformats.org/officeDocument/2006/relationships/hyperlink" Target="consultantplus://offline/ref=918229339C641C37AF1002A4ED790781B88865CBFC78EB5CE3F2615F6B543F302ED2220BE64997805A8BA44D9BD7A90BBA7B329E164E5E7BD701097EX0GEL" TargetMode = "External"/>
	<Relationship Id="rId64" Type="http://schemas.openxmlformats.org/officeDocument/2006/relationships/hyperlink" Target="consultantplus://offline/ref=918229339C641C37AF1002A4ED790781B88865CBFC72E650E0F3615F6B543F302ED2220BE64997805A89A0489ED7A90BBA7B329E164E5E7BD701097EX0GEL" TargetMode = "External"/>
	<Relationship Id="rId65" Type="http://schemas.openxmlformats.org/officeDocument/2006/relationships/hyperlink" Target="consultantplus://offline/ref=918229339C641C37AF1002A4ED790781B88865CBFC7FEF54EEF6615F6B543F302ED2220BE64997805A8AAC4D99D7A90BBA7B329E164E5E7BD701097EX0GEL" TargetMode = "External"/>
	<Relationship Id="rId66" Type="http://schemas.openxmlformats.org/officeDocument/2006/relationships/hyperlink" Target="consultantplus://offline/ref=918229339C641C37AF1002A4ED790781B88865CBFC7CEC51E0F8615F6B543F302ED2220BE64997805A8BA54D9BD7A90BBA7B329E164E5E7BD701097EX0GEL" TargetMode = "External"/>
	<Relationship Id="rId67" Type="http://schemas.openxmlformats.org/officeDocument/2006/relationships/hyperlink" Target="consultantplus://offline/ref=918229339C641C37AF1002A4ED790781B88865CBFC7DEF54E7F3615F6B543F302ED2220BE64997805A8BA54E99D7A90BBA7B329E164E5E7BD701097EX0GEL" TargetMode = "External"/>
	<Relationship Id="rId68" Type="http://schemas.openxmlformats.org/officeDocument/2006/relationships/hyperlink" Target="consultantplus://offline/ref=918229339C641C37AF1002A4ED790781B88865CBFC72E754E1F3615F6B543F302ED2220BE64997805A8BA14F98D7A90BBA7B329E164E5E7BD701097EX0GEL" TargetMode = "External"/>
	<Relationship Id="rId69" Type="http://schemas.openxmlformats.org/officeDocument/2006/relationships/hyperlink" Target="consultantplus://offline/ref=918229339C641C37AF1002A4ED790781B88865CBFC72E754E1F3615F6B543F302ED2220BE64997805A8BA54E9BD7A90BBA7B329E164E5E7BD701097EX0GEL" TargetMode = "External"/>
	<Relationship Id="rId70" Type="http://schemas.openxmlformats.org/officeDocument/2006/relationships/hyperlink" Target="consultantplus://offline/ref=918229339C641C37AF1002A4ED790781B88865CBFC7DEF54E7F3615F6B543F302ED2220BE64997805A8BA54E98D7A90BBA7B329E164E5E7BD701097EX0GEL" TargetMode = "External"/>
	<Relationship Id="rId71" Type="http://schemas.openxmlformats.org/officeDocument/2006/relationships/hyperlink" Target="consultantplus://offline/ref=918229339C641C37AF1002A4ED790781B88865CBFC7DEF54E7F3615F6B543F302ED2220BE64997805A8BA54E9AD7A90BBA7B329E164E5E7BD701097EX0GEL" TargetMode = "External"/>
	<Relationship Id="rId72" Type="http://schemas.openxmlformats.org/officeDocument/2006/relationships/hyperlink" Target="consultantplus://offline/ref=918229339C641C37AF1002A4ED790781B88865CBFC7DE955E5F9615F6B543F302ED2220BE64997805B82AE1BC898A857FC28219D114E5D7ACBX0G0L" TargetMode = "External"/>
	<Relationship Id="rId73" Type="http://schemas.openxmlformats.org/officeDocument/2006/relationships/hyperlink" Target="consultantplus://offline/ref=918229339C641C37AF1002A4ED790781B88865CBFC7DEF54E7F3615F6B543F302ED2220BE64997805A8BA54E9DD7A90BBA7B329E164E5E7BD701097EX0GEL" TargetMode = "External"/>
	<Relationship Id="rId74" Type="http://schemas.openxmlformats.org/officeDocument/2006/relationships/hyperlink" Target="consultantplus://offline/ref=918229339C641C37AF1002A4ED790781B88865CBFC72E75CE3F5615F6B543F302ED2220BE64997805A8BA44E9AD7A90BBA7B329E164E5E7BD701097EX0GEL" TargetMode = "External"/>
	<Relationship Id="rId75" Type="http://schemas.openxmlformats.org/officeDocument/2006/relationships/hyperlink" Target="consultantplus://offline/ref=918229339C641C37AF1002A4ED790781B88865CBFC7DEF54E7F3615F6B543F302ED2220BE64997805A8BA54E9FD7A90BBA7B329E164E5E7BD701097EX0GEL" TargetMode = "External"/>
	<Relationship Id="rId76" Type="http://schemas.openxmlformats.org/officeDocument/2006/relationships/hyperlink" Target="consultantplus://offline/ref=918229339C641C37AF1002A4ED790781B88865CBFC72E75CE3F5615F6B543F302ED2220BE64997805A8BA54C9ED7A90BBA7B329E164E5E7BD701097EX0GEL" TargetMode = "External"/>
	<Relationship Id="rId77" Type="http://schemas.openxmlformats.org/officeDocument/2006/relationships/hyperlink" Target="consultantplus://offline/ref=918229339C641C37AF1002A4ED790781B88865CBFC72E754E1F3615F6B543F302ED2220BE64997805A8BA54E9BD7A90BBA7B329E164E5E7BD701097EX0GEL" TargetMode = "External"/>
	<Relationship Id="rId78" Type="http://schemas.openxmlformats.org/officeDocument/2006/relationships/hyperlink" Target="consultantplus://offline/ref=918229339C641C37AF1002A4ED790781B88865CBFC72E754E1F3615F6B543F302ED2220BE64997805A8BA54E9BD7A90BBA7B329E164E5E7BD701097EX0GEL" TargetMode = "External"/>
	<Relationship Id="rId79" Type="http://schemas.openxmlformats.org/officeDocument/2006/relationships/hyperlink" Target="consultantplus://offline/ref=918229339C641C37AF1002A4ED790781B88865CBFC72E75CE3F5615F6B543F302ED2220BE64997805A8BA54990D7A90BBA7B329E164E5E7BD701097EX0GEL" TargetMode = "External"/>
	<Relationship Id="rId80" Type="http://schemas.openxmlformats.org/officeDocument/2006/relationships/hyperlink" Target="consultantplus://offline/ref=918229339C641C37AF1002A4ED790781B88865CBFC72E75CE3F5615F6B543F302ED2220BE64997805A8BA54790D7A90BBA7B329E164E5E7BD701097EX0GEL" TargetMode = "External"/>
	<Relationship Id="rId81" Type="http://schemas.openxmlformats.org/officeDocument/2006/relationships/hyperlink" Target="consultantplus://offline/ref=918229339C641C37AF1002A4ED790781B88865CBFC72E75CE3F5615F6B543F302ED2220BE64997805A8BA54990D7A90BBA7B329E164E5E7BD701097EX0GEL" TargetMode = "External"/>
	<Relationship Id="rId82" Type="http://schemas.openxmlformats.org/officeDocument/2006/relationships/hyperlink" Target="consultantplus://offline/ref=918229339C641C37AF1002A4ED790781B88865CBFC72E75CE3F5615F6B543F302ED2220BE64997805A8BA54790D7A90BBA7B329E164E5E7BD701097EX0GEL" TargetMode = "External"/>
	<Relationship Id="rId83" Type="http://schemas.openxmlformats.org/officeDocument/2006/relationships/hyperlink" Target="consultantplus://offline/ref=918229339C641C37AF1002A4ED790781B88865CBFC72E75CE3F5615F6B543F302ED2220BE64997805A8BA54691D7A90BBA7B329E164E5E7BD701097EX0GEL" TargetMode = "External"/>
	<Relationship Id="rId84" Type="http://schemas.openxmlformats.org/officeDocument/2006/relationships/hyperlink" Target="consultantplus://offline/ref=918229339C641C37AF1002A4ED790781B88865CBFC72E75CE3F5615F6B543F302ED2220BE64997805A8BA54990D7A90BBA7B329E164E5E7BD701097EX0GEL" TargetMode = "External"/>
	<Relationship Id="rId85" Type="http://schemas.openxmlformats.org/officeDocument/2006/relationships/hyperlink" Target="consultantplus://offline/ref=918229339C641C37AF1002A4ED790781B88865CBFC72E75CE3F5615F6B543F302ED2220BE64997805A8BA54790D7A90BBA7B329E164E5E7BD701097EX0GEL" TargetMode = "External"/>
	<Relationship Id="rId86" Type="http://schemas.openxmlformats.org/officeDocument/2006/relationships/hyperlink" Target="consultantplus://offline/ref=918229339C641C37AF1002A4ED790781B88865CBFC7FEF54EEF6615F6B543F302ED2220BE64997805A8AAC4D9BD7A90BBA7B329E164E5E7BD701097EX0GEL" TargetMode = "External"/>
	<Relationship Id="rId87" Type="http://schemas.openxmlformats.org/officeDocument/2006/relationships/hyperlink" Target="consultantplus://offline/ref=918229339C641C37AF1002A4ED790781B88865CBFC7DEF54E7F3615F6B543F302ED2220BE64997805A8BA54D9DD7A90BBA7B329E164E5E7BD701097EX0GEL" TargetMode = "External"/>
	<Relationship Id="rId88" Type="http://schemas.openxmlformats.org/officeDocument/2006/relationships/hyperlink" Target="consultantplus://offline/ref=918229339C641C37AF1002A4ED790781B88865CBFC72E754E1F3615F6B543F302ED2220BE64997805A8BA64690D7A90BBA7B329E164E5E7BD701097EX0GEL" TargetMode = "External"/>
	<Relationship Id="rId89" Type="http://schemas.openxmlformats.org/officeDocument/2006/relationships/hyperlink" Target="consultantplus://offline/ref=918229339C641C37AF1002A4ED790781B88865CBFC7DEF54E7F3615F6B543F302ED2220BE64997805A8BA54D9CD7A90BBA7B329E164E5E7BD701097EX0GEL" TargetMode = "External"/>
	<Relationship Id="rId90" Type="http://schemas.openxmlformats.org/officeDocument/2006/relationships/hyperlink" Target="consultantplus://offline/ref=918229339C641C37AF1002A4ED790781B88865CBFC7DEF54E7F3615F6B543F302ED2220BE64997805A8BA54D9ED7A90BBA7B329E164E5E7BD701097EX0GEL" TargetMode = "External"/>
	<Relationship Id="rId91" Type="http://schemas.openxmlformats.org/officeDocument/2006/relationships/hyperlink" Target="consultantplus://offline/ref=918229339C641C37AF1002A4ED790781B88865CBFC7DEF54E7F3615F6B543F302ED2220BE64997805A8BA54D91D7A90BBA7B329E164E5E7BD701097EX0GEL" TargetMode = "External"/>
	<Relationship Id="rId92" Type="http://schemas.openxmlformats.org/officeDocument/2006/relationships/hyperlink" Target="consultantplus://offline/ref=918229339C641C37AF1002A4ED790781B88865CBFC72E754E1F3615F6B543F302ED2220BE64997805A8BA54E9BD7A90BBA7B329E164E5E7BD701097EX0GEL" TargetMode = "External"/>
	<Relationship Id="rId93" Type="http://schemas.openxmlformats.org/officeDocument/2006/relationships/hyperlink" Target="consultantplus://offline/ref=918229339C641C37AF101CA9FB15508EBD8039C4FE7EE503BBA46708340439656E92245EA50D9A845880F11EDD89F058F8303E9D0E525F78XCGAL" TargetMode = "External"/>
	<Relationship Id="rId94" Type="http://schemas.openxmlformats.org/officeDocument/2006/relationships/hyperlink" Target="consultantplus://offline/ref=918229339C641C37AF101CA9FB15508EBD8039C4FE7EE503BBA46708340439656E92245EA50D9A845D80F11EDD89F058F8303E9D0E525F78XCGAL" TargetMode = "External"/>
	<Relationship Id="rId95" Type="http://schemas.openxmlformats.org/officeDocument/2006/relationships/hyperlink" Target="consultantplus://offline/ref=918229339C641C37AF101CA9FB15508EBD8039C4FE7EE503BBA46708340439656E922459AE59CBC50F86A74987DDFC44FC2E3DX9GFL" TargetMode = "External"/>
	<Relationship Id="rId96" Type="http://schemas.openxmlformats.org/officeDocument/2006/relationships/hyperlink" Target="consultantplus://offline/ref=918229339C641C37AF101CA9FB15508EBD8039C4FE7EE503BBA46708340439656E92245EA50D9A855E80F11EDD89F058F8303E9D0E525F78XCGAL" TargetMode = "External"/>
	<Relationship Id="rId97" Type="http://schemas.openxmlformats.org/officeDocument/2006/relationships/hyperlink" Target="consultantplus://offline/ref=918229339C641C37AF1002A4ED790781B88865CBFC7FEF54EEF6615F6B543F302ED2220BE64997805A8AAC4D9DD7A90BBA7B329E164E5E7BD701097EX0GEL" TargetMode = "External"/>
	<Relationship Id="rId98" Type="http://schemas.openxmlformats.org/officeDocument/2006/relationships/hyperlink" Target="consultantplus://offline/ref=918229339C641C37AF1002A4ED790781B88865CBFC7CEC51E0F8615F6B543F302ED2220BE64997805A8BA54D9AD7A90BBA7B329E164E5E7BD701097EX0GEL" TargetMode = "External"/>
	<Relationship Id="rId99" Type="http://schemas.openxmlformats.org/officeDocument/2006/relationships/hyperlink" Target="consultantplus://offline/ref=918229339C641C37AF1002A4ED790781B88865CBFC7DEF54E7F3615F6B543F302ED2220BE64997805A8BA54D90D7A90BBA7B329E164E5E7BD701097EX0GEL" TargetMode = "External"/>
	<Relationship Id="rId100" Type="http://schemas.openxmlformats.org/officeDocument/2006/relationships/hyperlink" Target="consultantplus://offline/ref=918229339C641C37AF1002A4ED790781B88865CBFC72E754E1F3615F6B543F302ED2220BE64997805A8AA5469DD7A90BBA7B329E164E5E7BD701097EX0GEL" TargetMode = "External"/>
	<Relationship Id="rId101" Type="http://schemas.openxmlformats.org/officeDocument/2006/relationships/hyperlink" Target="consultantplus://offline/ref=918229339C641C37AF1002A4ED790781B88865CBFC7CEC51E0F8615F6B543F302ED2220BE64997805A8BA54D9CD7A90BBA7B329E164E5E7BD701097EX0GEL" TargetMode = "External"/>
	<Relationship Id="rId102" Type="http://schemas.openxmlformats.org/officeDocument/2006/relationships/hyperlink" Target="consultantplus://offline/ref=918229339C641C37AF1002A4ED790781B88865CBFC7CEC51E0F8615F6B543F302ED2220BE64997805A8BA54D9FD7A90BBA7B329E164E5E7BD701097EX0GEL" TargetMode = "External"/>
	<Relationship Id="rId103" Type="http://schemas.openxmlformats.org/officeDocument/2006/relationships/hyperlink" Target="consultantplus://offline/ref=918229339C641C37AF1002A4ED790781B88865CBFC7CEC51E0F8615F6B543F302ED2220BE64997805A8BA54C9ED7A90BBA7B329E164E5E7BD701097EX0GEL" TargetMode = "External"/>
	<Relationship Id="rId104" Type="http://schemas.openxmlformats.org/officeDocument/2006/relationships/hyperlink" Target="consultantplus://offline/ref=918229339C641C37AF1002A4ED790781B88865CBFC7CEC51E0F8615F6B543F302ED2220BE64997805A8BA54B9CD7A90BBA7B329E164E5E7BD701097EX0GEL" TargetMode = "External"/>
	<Relationship Id="rId105" Type="http://schemas.openxmlformats.org/officeDocument/2006/relationships/hyperlink" Target="consultantplus://offline/ref=918229339C641C37AF1002A4ED790781B88865CBFC7CEC51E0F8615F6B543F302ED2220BE64997805A8BA54B90D7A90BBA7B329E164E5E7BD701097EX0GEL" TargetMode = "External"/>
	<Relationship Id="rId106" Type="http://schemas.openxmlformats.org/officeDocument/2006/relationships/hyperlink" Target="consultantplus://offline/ref=918229339C641C37AF1002A4ED790781B88865CBFC7CEC51E0F8615F6B543F302ED2220BE64997805A8BA54A99D7A90BBA7B329E164E5E7BD701097EX0GEL" TargetMode = "External"/>
	<Relationship Id="rId107" Type="http://schemas.openxmlformats.org/officeDocument/2006/relationships/hyperlink" Target="consultantplus://offline/ref=918229339C641C37AF1002A4ED790781B88865CBFC72E754E1F3615F6B543F302ED2220BE64997805A8BA54E9BD7A90BBA7B329E164E5E7BD701097EX0GEL" TargetMode = "External"/>
	<Relationship Id="rId108" Type="http://schemas.openxmlformats.org/officeDocument/2006/relationships/hyperlink" Target="consultantplus://offline/ref=918229339C641C37AF1002A4ED790781B88865CBFC7CEC51E0F8615F6B543F302ED2220BE64997805A8BA54A9BD7A90BBA7B329E164E5E7BD701097EX0GEL" TargetMode = "External"/>
	<Relationship Id="rId109" Type="http://schemas.openxmlformats.org/officeDocument/2006/relationships/hyperlink" Target="consultantplus://offline/ref=918229339C641C37AF1002A4ED790781B88865CBFC7DEF54E7F3615F6B543F302ED2220BE64997805A8BA54D90D7A90BBA7B329E164E5E7BD701097EX0GEL" TargetMode = "External"/>
	<Relationship Id="rId110" Type="http://schemas.openxmlformats.org/officeDocument/2006/relationships/hyperlink" Target="consultantplus://offline/ref=918229339C641C37AF1002A4ED790781B88865CBFC7DE955E5F9615F6B543F302ED2220BE64997805B82AE1BC898A857FC28219D114E5D7ACBX0G0L" TargetMode = "External"/>
	<Relationship Id="rId111" Type="http://schemas.openxmlformats.org/officeDocument/2006/relationships/hyperlink" Target="consultantplus://offline/ref=918229339C641C37AF1002A4ED790781B88865CBFC72E75CE3F5615F6B543F302ED2220BE64997805A8BA54C9ED7A90BBA7B329E164E5E7BD701097EX0GEL" TargetMode = "External"/>
	<Relationship Id="rId112" Type="http://schemas.openxmlformats.org/officeDocument/2006/relationships/hyperlink" Target="consultantplus://offline/ref=918229339C641C37AF1002A4ED790781B88865CBFC72E754E1F3615F6B543F302ED2220BE64997805A8BA54E9BD7A90BBA7B329E164E5E7BD701097EX0GEL" TargetMode = "External"/>
	<Relationship Id="rId113" Type="http://schemas.openxmlformats.org/officeDocument/2006/relationships/hyperlink" Target="consultantplus://offline/ref=918229339C641C37AF1002A4ED790781B88865CBFC72E754E1F3615F6B543F302ED2220BE64997805A8BA54E9BD7A90BBA7B329E164E5E7BD701097EX0GEL" TargetMode = "External"/>
	<Relationship Id="rId114" Type="http://schemas.openxmlformats.org/officeDocument/2006/relationships/hyperlink" Target="consultantplus://offline/ref=918229339C641C37AF1002A4ED790781B88865CBFC72E75CE3F5615F6B543F302ED2220BE64997805A8BA54990D7A90BBA7B329E164E5E7BD701097EX0GEL" TargetMode = "External"/>
	<Relationship Id="rId115" Type="http://schemas.openxmlformats.org/officeDocument/2006/relationships/hyperlink" Target="consultantplus://offline/ref=918229339C641C37AF1002A4ED790781B88865CBFC72E75CE3F5615F6B543F302ED2220BE64997805A8BA54790D7A90BBA7B329E164E5E7BD701097EX0GEL" TargetMode = "External"/>
	<Relationship Id="rId116" Type="http://schemas.openxmlformats.org/officeDocument/2006/relationships/hyperlink" Target="consultantplus://offline/ref=918229339C641C37AF1002A4ED790781B88865CBFC72E75CE3F5615F6B543F302ED2220BE64997805A8BA54990D7A90BBA7B329E164E5E7BD701097EX0GEL" TargetMode = "External"/>
	<Relationship Id="rId117" Type="http://schemas.openxmlformats.org/officeDocument/2006/relationships/hyperlink" Target="consultantplus://offline/ref=918229339C641C37AF1002A4ED790781B88865CBFC72E75CE3F5615F6B543F302ED2220BE64997805A8BA54790D7A90BBA7B329E164E5E7BD701097EX0GEL" TargetMode = "External"/>
	<Relationship Id="rId118" Type="http://schemas.openxmlformats.org/officeDocument/2006/relationships/hyperlink" Target="consultantplus://offline/ref=918229339C641C37AF1002A4ED790781B88865CBFC72E75CE3F5615F6B543F302ED2220BE64997805A8BA54691D7A90BBA7B329E164E5E7BD701097EX0GEL" TargetMode = "External"/>
	<Relationship Id="rId119" Type="http://schemas.openxmlformats.org/officeDocument/2006/relationships/hyperlink" Target="consultantplus://offline/ref=918229339C641C37AF1002A4ED790781B88865CBFC72E75CE3F5615F6B543F302ED2220BE64997805A8BA54990D7A90BBA7B329E164E5E7BD701097EX0GEL" TargetMode = "External"/>
	<Relationship Id="rId120" Type="http://schemas.openxmlformats.org/officeDocument/2006/relationships/hyperlink" Target="consultantplus://offline/ref=918229339C641C37AF1002A4ED790781B88865CBFC72E75CE3F5615F6B543F302ED2220BE64997805A8BA54790D7A90BBA7B329E164E5E7BD701097EX0GEL" TargetMode = "External"/>
	<Relationship Id="rId121" Type="http://schemas.openxmlformats.org/officeDocument/2006/relationships/hyperlink" Target="consultantplus://offline/ref=918229339C641C37AF1002A4ED790781B88865CBFC73EF55EFF3615F6B543F302ED2220BE64997805A8BA54D99D7A90BBA7B329E164E5E7BD701097EX0GEL" TargetMode = "External"/>
	<Relationship Id="rId122" Type="http://schemas.openxmlformats.org/officeDocument/2006/relationships/hyperlink" Target="consultantplus://offline/ref=918229339C641C37AF1002A4ED790781B88865CBFC7FEF54EEF6615F6B543F302ED2220BE64997805A8AAC4D9ED7A90BBA7B329E164E5E7BD701097EX0GEL" TargetMode = "External"/>
	<Relationship Id="rId123" Type="http://schemas.openxmlformats.org/officeDocument/2006/relationships/hyperlink" Target="consultantplus://offline/ref=918229339C641C37AF1002A4ED790781B88865CBFC7FE853E5F4615F6B543F302ED2220BE64997805A8AA54990D7A90BBA7B329E164E5E7BD701097EX0GEL" TargetMode = "External"/>
	<Relationship Id="rId124" Type="http://schemas.openxmlformats.org/officeDocument/2006/relationships/hyperlink" Target="consultantplus://offline/ref=918229339C641C37AF1002A4ED790781B88865CBFC72E754E1F3615F6B543F302ED2220BE64997805A8BA14F98D7A90BBA7B329E164E5E7BD701097EX0GEL" TargetMode = "External"/>
	<Relationship Id="rId125" Type="http://schemas.openxmlformats.org/officeDocument/2006/relationships/hyperlink" Target="consultantplus://offline/ref=918229339C641C37AF1002A4ED790781B88865CBFC7FE853E5F4615F6B543F302ED2220BE64997805A8AA54990D7A90BBA7B329E164E5E7BD701097EX0GEL" TargetMode = "External"/>
	<Relationship Id="rId126" Type="http://schemas.openxmlformats.org/officeDocument/2006/relationships/hyperlink" Target="consultantplus://offline/ref=918229339C641C37AF1002A4ED790781B88865CBFC72E754E1F3615F6B543F302ED2220BE64997805A8BA54E9BD7A90BBA7B329E164E5E7BD701097EX0GEL" TargetMode = "External"/>
	<Relationship Id="rId127" Type="http://schemas.openxmlformats.org/officeDocument/2006/relationships/hyperlink" Target="consultantplus://offline/ref=918229339C641C37AF101CA9FB15508EBD8A3FC1FA7BE503BBA46708340439656E92245EA50D9A875880F11EDD89F058F8303E9D0E525F78XCGAL" TargetMode = "External"/>
	<Relationship Id="rId128" Type="http://schemas.openxmlformats.org/officeDocument/2006/relationships/hyperlink" Target="consultantplus://offline/ref=918229339C641C37AF101CA9FB15508EBD8A3FC1FA7BE503BBA46708340439656E92245DA006CED01EDEA84D9FC2FC5BE02C3F9EX1G3L" TargetMode = "External"/>
	<Relationship Id="rId129" Type="http://schemas.openxmlformats.org/officeDocument/2006/relationships/hyperlink" Target="consultantplus://offline/ref=918229339C641C37AF101CA9FB15508EBD8A3FC1FA7BE503BBA46708340439656E92245EA50D9A855D80F11EDD89F058F8303E9D0E525F78XCGAL" TargetMode = "External"/>
	<Relationship Id="rId130" Type="http://schemas.openxmlformats.org/officeDocument/2006/relationships/hyperlink" Target="consultantplus://offline/ref=918229339C641C37AF101CA9FB15508EBD8A3FC1FA7BE503BBA46708340439656E92245EA50D9A845E80F11EDD89F058F8303E9D0E525F78XCGAL" TargetMode = "External"/>
	<Relationship Id="rId131" Type="http://schemas.openxmlformats.org/officeDocument/2006/relationships/hyperlink" Target="consultantplus://offline/ref=918229339C641C37AF1002A4ED790781B88865CBFC7FEF54EEF6615F6B543F302ED2220BE64997805A8AAC4C99D7A90BBA7B329E164E5E7BD701097EX0GEL" TargetMode = "External"/>
	<Relationship Id="rId132" Type="http://schemas.openxmlformats.org/officeDocument/2006/relationships/hyperlink" Target="consultantplus://offline/ref=918229339C641C37AF1002A4ED790781B88865CBFC7FE853E5F4615F6B543F302ED2220BE64997805A8AA54899D7A90BBA7B329E164E5E7BD701097EX0GEL" TargetMode = "External"/>
	<Relationship Id="rId133" Type="http://schemas.openxmlformats.org/officeDocument/2006/relationships/hyperlink" Target="consultantplus://offline/ref=918229339C641C37AF1002A4ED790781B88865CBFC7CEC51E0F8615F6B543F302ED2220BE64997805A8BA5489CD7A90BBA7B329E164E5E7BD701097EX0GEL" TargetMode = "External"/>
	<Relationship Id="rId134" Type="http://schemas.openxmlformats.org/officeDocument/2006/relationships/hyperlink" Target="consultantplus://offline/ref=918229339C641C37AF1002A4ED790781B88865CBFC7DEF54E7F3615F6B543F302ED2220BE64997805A8BA54C9ED7A90BBA7B329E164E5E7BD701097EX0GEL" TargetMode = "External"/>
	<Relationship Id="rId135" Type="http://schemas.openxmlformats.org/officeDocument/2006/relationships/hyperlink" Target="consultantplus://offline/ref=918229339C641C37AF1002A4ED790781B88865CBFC72E754E1F3615F6B543F302ED2220BE64997805A8BA14F98D7A90BBA7B329E164E5E7BD701097EX0GEL" TargetMode = "External"/>
	<Relationship Id="rId136" Type="http://schemas.openxmlformats.org/officeDocument/2006/relationships/hyperlink" Target="consultantplus://offline/ref=918229339C641C37AF1002A4ED790781B88865CBFC7DEF54E7F3615F6B543F302ED2220BE64997805A8BA54C90D7A90BBA7B329E164E5E7BD701097EX0GEL" TargetMode = "External"/>
	<Relationship Id="rId137" Type="http://schemas.openxmlformats.org/officeDocument/2006/relationships/hyperlink" Target="consultantplus://offline/ref=918229339C641C37AF1002A4ED790781B88865CBFC7FEF54EEF6615F6B543F302ED2220BE64997805A8AAC4C9CD7A90BBA7B329E164E5E7BD701097EX0GEL" TargetMode = "External"/>
	<Relationship Id="rId138" Type="http://schemas.openxmlformats.org/officeDocument/2006/relationships/hyperlink" Target="consultantplus://offline/ref=918229339C641C37AF1002A4ED790781B88865CBFC7DEF54E7F3615F6B543F302ED2220BE64997805A8BA54B98D7A90BBA7B329E164E5E7BD701097EX0GEL" TargetMode = "External"/>
	<Relationship Id="rId139" Type="http://schemas.openxmlformats.org/officeDocument/2006/relationships/hyperlink" Target="consultantplus://offline/ref=918229339C641C37AF1002A4ED790781B88865CBFC7DEF54E7F3615F6B543F302ED2220BE64997805A8BA54B9BD7A90BBA7B329E164E5E7BD701097EX0GEL" TargetMode = "External"/>
	<Relationship Id="rId140" Type="http://schemas.openxmlformats.org/officeDocument/2006/relationships/hyperlink" Target="consultantplus://offline/ref=918229339C641C37AF1002A4ED790781B88865CBFC7CEC51E0F8615F6B543F302ED2220BE64997805A8BA5489CD7A90BBA7B329E164E5E7BD701097EX0GEL" TargetMode = "External"/>
	<Relationship Id="rId141" Type="http://schemas.openxmlformats.org/officeDocument/2006/relationships/hyperlink" Target="consultantplus://offline/ref=918229339C641C37AF1002A4ED790781B88865CBFC7CEC51E0F8615F6B543F302ED2220BE64997805A8BA5489CD7A90BBA7B329E164E5E7BD701097EX0GEL" TargetMode = "External"/>
	<Relationship Id="rId142" Type="http://schemas.openxmlformats.org/officeDocument/2006/relationships/hyperlink" Target="consultantplus://offline/ref=918229339C641C37AF1002A4ED790781B88865CBFC7DEF54E7F3615F6B543F302ED2220BE64997805A8BA54B9CD7A90BBA7B329E164E5E7BD701097EX0GEL" TargetMode = "External"/>
	<Relationship Id="rId143" Type="http://schemas.openxmlformats.org/officeDocument/2006/relationships/hyperlink" Target="consultantplus://offline/ref=918229339C641C37AF1002A4ED790781B88865CBFC7DEF54E7F3615F6B543F302ED2220BE64997805A8BA54B9ED7A90BBA7B329E164E5E7BD701097EX0GEL" TargetMode = "External"/>
	<Relationship Id="rId144" Type="http://schemas.openxmlformats.org/officeDocument/2006/relationships/hyperlink" Target="consultantplus://offline/ref=918229339C641C37AF101CA9FB15508EBA803CC6F77EE503BBA46708340439657C927C52A70B84805B95A74F9BXDGFL" TargetMode = "External"/>
	<Relationship Id="rId145" Type="http://schemas.openxmlformats.org/officeDocument/2006/relationships/hyperlink" Target="consultantplus://offline/ref=918229339C641C37AF1002A4ED790781B88865CBFC7CEC51E0F8615F6B543F302ED2220BE64997805A8BA5489CD7A90BBA7B329E164E5E7BD701097EX0GEL" TargetMode = "External"/>
	<Relationship Id="rId146" Type="http://schemas.openxmlformats.org/officeDocument/2006/relationships/hyperlink" Target="consultantplus://offline/ref=918229339C641C37AF1002A4ED790781B88865CBFC7FE853E5F4615F6B543F302ED2220BE64997805A8AA54899D7A90BBA7B329E164E5E7BD701097EX0GEL" TargetMode = "External"/>
	<Relationship Id="rId147" Type="http://schemas.openxmlformats.org/officeDocument/2006/relationships/hyperlink" Target="consultantplus://offline/ref=918229339C641C37AF1002A4ED790781B88865CBFC7FE853E5F4615F6B543F302ED2220BE64997805A8AA5489FD7A90BBA7B329E164E5E7BD701097EX0GEL" TargetMode = "External"/>
	<Relationship Id="rId148" Type="http://schemas.openxmlformats.org/officeDocument/2006/relationships/hyperlink" Target="consultantplus://offline/ref=918229339C641C37AF1002A4ED790781B88865CBFC7DEF54E7F3615F6B543F302ED2220BE64997805A8BA54B91D7A90BBA7B329E164E5E7BD701097EX0GEL" TargetMode = "External"/>
	<Relationship Id="rId149" Type="http://schemas.openxmlformats.org/officeDocument/2006/relationships/hyperlink" Target="consultantplus://offline/ref=918229339C641C37AF1002A4ED790781B88865CBFC7DEF54E7F3615F6B543F302ED2220BE64997805A8BA54B91D7A90BBA7B329E164E5E7BD701097EX0GEL" TargetMode = "External"/>
	<Relationship Id="rId150" Type="http://schemas.openxmlformats.org/officeDocument/2006/relationships/hyperlink" Target="consultantplus://offline/ref=918229339C641C37AF1002A4ED790781B88865CBFC72E75CE3F5615F6B543F302ED2220BE64997805A8BA44E9AD7A90BBA7B329E164E5E7BD701097EX0GEL" TargetMode = "External"/>
	<Relationship Id="rId151" Type="http://schemas.openxmlformats.org/officeDocument/2006/relationships/hyperlink" Target="consultantplus://offline/ref=918229339C641C37AF1002A4ED790781B88865CBFC7DE955E5F9615F6B543F302ED2220BE64997805B82AE1BC898A857FC28219D114E5D7ACBX0G0L" TargetMode = "External"/>
	<Relationship Id="rId152" Type="http://schemas.openxmlformats.org/officeDocument/2006/relationships/hyperlink" Target="consultantplus://offline/ref=918229339C641C37AF1002A4ED790781B88865CBFC7DEF54E7F3615F6B543F302ED2220BE64997805A8BA54B90D7A90BBA7B329E164E5E7BD701097EX0GEL" TargetMode = "External"/>
	<Relationship Id="rId153" Type="http://schemas.openxmlformats.org/officeDocument/2006/relationships/hyperlink" Target="consultantplus://offline/ref=918229339C641C37AF1002A4ED790781B88865CBFC72E75CE3F5615F6B543F302ED2220BE64997805A8BA54C9ED7A90BBA7B329E164E5E7BD701097EX0GEL" TargetMode = "External"/>
	<Relationship Id="rId154" Type="http://schemas.openxmlformats.org/officeDocument/2006/relationships/hyperlink" Target="consultantplus://offline/ref=918229339C641C37AF1002A4ED790781B88865CBFC72E754E1F3615F6B543F302ED2220BE64997805A8BA54E9BD7A90BBA7B329E164E5E7BD701097EX0GEL" TargetMode = "External"/>
	<Relationship Id="rId155" Type="http://schemas.openxmlformats.org/officeDocument/2006/relationships/hyperlink" Target="consultantplus://offline/ref=918229339C641C37AF1002A4ED790781B88865CBFC72E754E1F3615F6B543F302ED2220BE64997805A8BA54E9BD7A90BBA7B329E164E5E7BD701097EX0GEL" TargetMode = "External"/>
	<Relationship Id="rId156" Type="http://schemas.openxmlformats.org/officeDocument/2006/relationships/hyperlink" Target="consultantplus://offline/ref=918229339C641C37AF1002A4ED790781B88865CBFC7DEF54E7F3615F6B543F302ED2220BE64997805A8BA54A9ED7A90BBA7B329E164E5E7BD701097EX0GEL" TargetMode = "External"/>
	<Relationship Id="rId157" Type="http://schemas.openxmlformats.org/officeDocument/2006/relationships/hyperlink" Target="consultantplus://offline/ref=918229339C641C37AF1002A4ED790781B88865CBFC72E75CE3F5615F6B543F302ED2220BE64997805A8BA54990D7A90BBA7B329E164E5E7BD701097EX0GEL" TargetMode = "External"/>
	<Relationship Id="rId158" Type="http://schemas.openxmlformats.org/officeDocument/2006/relationships/hyperlink" Target="consultantplus://offline/ref=918229339C641C37AF1002A4ED790781B88865CBFC72E75CE3F5615F6B543F302ED2220BE64997805A8BA54790D7A90BBA7B329E164E5E7BD701097EX0GEL" TargetMode = "External"/>
	<Relationship Id="rId159" Type="http://schemas.openxmlformats.org/officeDocument/2006/relationships/hyperlink" Target="consultantplus://offline/ref=918229339C641C37AF1002A4ED790781B88865CBFC72E75CE3F5615F6B543F302ED2220BE64997805A8BA54990D7A90BBA7B329E164E5E7BD701097EX0GEL" TargetMode = "External"/>
	<Relationship Id="rId160" Type="http://schemas.openxmlformats.org/officeDocument/2006/relationships/hyperlink" Target="consultantplus://offline/ref=918229339C641C37AF1002A4ED790781B88865CBFC72E75CE3F5615F6B543F302ED2220BE64997805A8BA54790D7A90BBA7B329E164E5E7BD701097EX0GEL" TargetMode = "External"/>
	<Relationship Id="rId161" Type="http://schemas.openxmlformats.org/officeDocument/2006/relationships/hyperlink" Target="consultantplus://offline/ref=918229339C641C37AF1002A4ED790781B88865CBFC72E75CE3F5615F6B543F302ED2220BE64997805A8BA54691D7A90BBA7B329E164E5E7BD701097EX0GEL" TargetMode = "External"/>
	<Relationship Id="rId162" Type="http://schemas.openxmlformats.org/officeDocument/2006/relationships/hyperlink" Target="consultantplus://offline/ref=918229339C641C37AF1002A4ED790781B88865CBFC72E75CE3F5615F6B543F302ED2220BE64997805A8BA54990D7A90BBA7B329E164E5E7BD701097EX0GEL" TargetMode = "External"/>
	<Relationship Id="rId163" Type="http://schemas.openxmlformats.org/officeDocument/2006/relationships/hyperlink" Target="consultantplus://offline/ref=918229339C641C37AF1002A4ED790781B88865CBFC72E75CE3F5615F6B543F302ED2220BE64997805A8BA54790D7A90BBA7B329E164E5E7BD701097EX0GEL" TargetMode = "External"/>
	<Relationship Id="rId164" Type="http://schemas.openxmlformats.org/officeDocument/2006/relationships/hyperlink" Target="consultantplus://offline/ref=918229339C641C37AF1002A4ED790781B88865CBFC7FEF54EEF6615F6B543F302ED2220BE64997805A8AAC4C9ED7A90BBA7B329E164E5E7BD701097EX0GEL" TargetMode = "External"/>
	<Relationship Id="rId165" Type="http://schemas.openxmlformats.org/officeDocument/2006/relationships/hyperlink" Target="consultantplus://offline/ref=918229339C641C37AF1002A4ED790781B88865CBFC7FE853E5F4615F6B543F302ED2220BE64997805A8AA54799D7A90BBA7B329E164E5E7BD701097EX0GEL" TargetMode = "External"/>
	<Relationship Id="rId166" Type="http://schemas.openxmlformats.org/officeDocument/2006/relationships/hyperlink" Target="consultantplus://offline/ref=918229339C641C37AF1002A4ED790781B88865CBFC7CEC51E0F8615F6B543F302ED2220BE64997805A8BA5489FD7A90BBA7B329E164E5E7BD701097EX0GEL" TargetMode = "External"/>
	<Relationship Id="rId167" Type="http://schemas.openxmlformats.org/officeDocument/2006/relationships/hyperlink" Target="consultantplus://offline/ref=918229339C641C37AF101CA9FB15508EBA853AC6F67FE503BBA46708340439657C927C52A70B84805B95A74F9BXDGFL" TargetMode = "External"/>
	<Relationship Id="rId168" Type="http://schemas.openxmlformats.org/officeDocument/2006/relationships/hyperlink" Target="consultantplus://offline/ref=918229339C641C37AF1002A4ED790781B88865CBFC72E754E1F3615F6B543F302ED2220BE64997805A8AA74B9BD7A90BBA7B329E164E5E7BD701097EX0GEL" TargetMode = "External"/>
	<Relationship Id="rId169" Type="http://schemas.openxmlformats.org/officeDocument/2006/relationships/hyperlink" Target="consultantplus://offline/ref=918229339C641C37AF1002A4ED790781B88865CBFC7FEF54EEF6615F6B543F302ED2220BE64997805A8AAC4B99D7A90BBA7B329E164E5E7BD701097EX0GEL" TargetMode = "External"/>
	<Relationship Id="rId170" Type="http://schemas.openxmlformats.org/officeDocument/2006/relationships/hyperlink" Target="consultantplus://offline/ref=918229339C641C37AF1002A4ED790781B88865CBFC7FEF54EEF6615F6B543F302ED2220BE64997805A8AAC4B98D7A90BBA7B329E164E5E7BD701097EX0GEL" TargetMode = "External"/>
	<Relationship Id="rId171" Type="http://schemas.openxmlformats.org/officeDocument/2006/relationships/hyperlink" Target="consultantplus://offline/ref=918229339C641C37AF1002A4ED790781B88865CBFC7CEC51E0F8615F6B543F302ED2220BE64997805A8BA5489ED7A90BBA7B329E164E5E7BD701097EX0GEL" TargetMode = "External"/>
	<Relationship Id="rId172" Type="http://schemas.openxmlformats.org/officeDocument/2006/relationships/hyperlink" Target="consultantplus://offline/ref=918229339C641C37AF1002A4ED790781B88865CBFC7FEF54EEF6615F6B543F302ED2220BE64997805A8AAC4B9AD7A90BBA7B329E164E5E7BD701097EX0GEL" TargetMode = "External"/>
	<Relationship Id="rId173" Type="http://schemas.openxmlformats.org/officeDocument/2006/relationships/hyperlink" Target="consultantplus://offline/ref=918229339C641C37AF1002A4ED790781B88865CBFC7FEF54EEF6615F6B543F302ED2220BE64997805A8AAC4B9CD7A90BBA7B329E164E5E7BD701097EX0GEL" TargetMode = "External"/>
	<Relationship Id="rId174" Type="http://schemas.openxmlformats.org/officeDocument/2006/relationships/hyperlink" Target="consultantplus://offline/ref=918229339C641C37AF1002A4ED790781B88865CBFC7FE853E5F4615F6B543F302ED2220BE64997805A8AA54799D7A90BBA7B329E164E5E7BD701097EX0GEL" TargetMode = "External"/>
	<Relationship Id="rId175" Type="http://schemas.openxmlformats.org/officeDocument/2006/relationships/hyperlink" Target="consultantplus://offline/ref=918229339C641C37AF1002A4ED790781B88865CBFC7CEC51E0F8615F6B543F302ED2220BE64997805A8BA54890D7A90BBA7B329E164E5E7BD701097EX0GEL" TargetMode = "External"/>
	<Relationship Id="rId176" Type="http://schemas.openxmlformats.org/officeDocument/2006/relationships/hyperlink" Target="consultantplus://offline/ref=918229339C641C37AF1002A4ED790781B88865CBFC7CEC51E0F8615F6B543F302ED2220BE64997805A8BA54890D7A90BBA7B329E164E5E7BD701097EX0GEL" TargetMode = "External"/>
	<Relationship Id="rId177" Type="http://schemas.openxmlformats.org/officeDocument/2006/relationships/hyperlink" Target="consultantplus://offline/ref=918229339C641C37AF1002A4ED790781B88865CBFC7CEC51E0F8615F6B543F302ED2220BE64997805A8BA54890D7A90BBA7B329E164E5E7BD701097EX0GEL" TargetMode = "External"/>
	<Relationship Id="rId178" Type="http://schemas.openxmlformats.org/officeDocument/2006/relationships/hyperlink" Target="consultantplus://offline/ref=918229339C641C37AF1002A4ED790781B88865CBFC7FEF54EEF6615F6B543F302ED2220BE64997805A8AAC4B9ED7A90BBA7B329E164E5E7BD701097EX0GEL" TargetMode = "External"/>
	<Relationship Id="rId179" Type="http://schemas.openxmlformats.org/officeDocument/2006/relationships/hyperlink" Target="consultantplus://offline/ref=918229339C641C37AF1002A4ED790781B88865CBFC7DEF54E7F3615F6B543F302ED2220BE64997805A8BA54A91D7A90BBA7B329E164E5E7BD701097EX0GEL" TargetMode = "External"/>
	<Relationship Id="rId180" Type="http://schemas.openxmlformats.org/officeDocument/2006/relationships/hyperlink" Target="consultantplus://offline/ref=918229339C641C37AF1002A4ED790781B88865CBFC7DEF54E7F3615F6B543F302ED2220BE64997805A8BA54A90D7A90BBA7B329E164E5E7BD701097EX0GEL" TargetMode = "External"/>
	<Relationship Id="rId181" Type="http://schemas.openxmlformats.org/officeDocument/2006/relationships/hyperlink" Target="consultantplus://offline/ref=918229339C641C37AF1002A4ED790781B88865CBFC72E754E1F3615F6B543F302ED2220BE64997805A8BA14F98D7A90BBA7B329E164E5E7BD701097EX0GEL" TargetMode = "External"/>
	<Relationship Id="rId182" Type="http://schemas.openxmlformats.org/officeDocument/2006/relationships/hyperlink" Target="consultantplus://offline/ref=918229339C641C37AF1002A4ED790781B88865CBFC7DEF54E7F3615F6B543F302ED2220BE64997805A8BA54999D7A90BBA7B329E164E5E7BD701097EX0GEL" TargetMode = "External"/>
	<Relationship Id="rId183" Type="http://schemas.openxmlformats.org/officeDocument/2006/relationships/hyperlink" Target="consultantplus://offline/ref=918229339C641C37AF1002A4ED790781B88865CBFC72E75CE3F5615F6B543F302ED2220BE64997805A8BA44E9AD7A90BBA7B329E164E5E7BD701097EX0GEL" TargetMode = "External"/>
	<Relationship Id="rId184" Type="http://schemas.openxmlformats.org/officeDocument/2006/relationships/hyperlink" Target="consultantplus://offline/ref=918229339C641C37AF1002A4ED790781B88865CBFC7DEF54E7F3615F6B543F302ED2220BE64997805A8BA54998D7A90BBA7B329E164E5E7BD701097EX0GEL" TargetMode = "External"/>
	<Relationship Id="rId185" Type="http://schemas.openxmlformats.org/officeDocument/2006/relationships/hyperlink" Target="consultantplus://offline/ref=918229339C641C37AF1002A4ED790781B88865CBFC7DE955E5F9615F6B543F302ED2220BE64997805B82AE1BC898A857FC28219D114E5D7ACBX0G0L" TargetMode = "External"/>
	<Relationship Id="rId186" Type="http://schemas.openxmlformats.org/officeDocument/2006/relationships/hyperlink" Target="consultantplus://offline/ref=918229339C641C37AF1002A4ED790781B88865CBFC72E75CE3F5615F6B543F302ED2220BE64997805A8BA54C9ED7A90BBA7B329E164E5E7BD701097EX0GEL" TargetMode = "External"/>
	<Relationship Id="rId187" Type="http://schemas.openxmlformats.org/officeDocument/2006/relationships/hyperlink" Target="consultantplus://offline/ref=918229339C641C37AF1002A4ED790781B88865CBFC72E754E1F3615F6B543F302ED2220BE64997805A8BA54E9BD7A90BBA7B329E164E5E7BD701097EX0GEL" TargetMode = "External"/>
	<Relationship Id="rId188" Type="http://schemas.openxmlformats.org/officeDocument/2006/relationships/hyperlink" Target="consultantplus://offline/ref=918229339C641C37AF1002A4ED790781B88865CBFC72E754E1F3615F6B543F302ED2220BE64997805A8BA54E9BD7A90BBA7B329E164E5E7BD701097EX0GEL" TargetMode = "External"/>
	<Relationship Id="rId189" Type="http://schemas.openxmlformats.org/officeDocument/2006/relationships/hyperlink" Target="consultantplus://offline/ref=918229339C641C37AF1002A4ED790781B88865CBFC72E75CE3F5615F6B543F302ED2220BE64997805A8BA54990D7A90BBA7B329E164E5E7BD701097EX0GEL" TargetMode = "External"/>
	<Relationship Id="rId190" Type="http://schemas.openxmlformats.org/officeDocument/2006/relationships/hyperlink" Target="consultantplus://offline/ref=918229339C641C37AF1002A4ED790781B88865CBFC72E75CE3F5615F6B543F302ED2220BE64997805A8BA54790D7A90BBA7B329E164E5E7BD701097EX0GEL" TargetMode = "External"/>
	<Relationship Id="rId191" Type="http://schemas.openxmlformats.org/officeDocument/2006/relationships/hyperlink" Target="consultantplus://offline/ref=918229339C641C37AF1002A4ED790781B88865CBFC72E75CE3F5615F6B543F302ED2220BE64997805A8BA54990D7A90BBA7B329E164E5E7BD701097EX0GEL" TargetMode = "External"/>
	<Relationship Id="rId192" Type="http://schemas.openxmlformats.org/officeDocument/2006/relationships/hyperlink" Target="consultantplus://offline/ref=918229339C641C37AF1002A4ED790781B88865CBFC72E75CE3F5615F6B543F302ED2220BE64997805A8BA54790D7A90BBA7B329E164E5E7BD701097EX0GEL" TargetMode = "External"/>
	<Relationship Id="rId193" Type="http://schemas.openxmlformats.org/officeDocument/2006/relationships/hyperlink" Target="consultantplus://offline/ref=918229339C641C37AF1002A4ED790781B88865CBFC72E75CE3F5615F6B543F302ED2220BE64997805A8BA54691D7A90BBA7B329E164E5E7BD701097EX0GEL" TargetMode = "External"/>
	<Relationship Id="rId194" Type="http://schemas.openxmlformats.org/officeDocument/2006/relationships/hyperlink" Target="consultantplus://offline/ref=918229339C641C37AF1002A4ED790781B88865CBFC72E75CE3F5615F6B543F302ED2220BE64997805A8BA54990D7A90BBA7B329E164E5E7BD701097EX0GEL" TargetMode = "External"/>
	<Relationship Id="rId195" Type="http://schemas.openxmlformats.org/officeDocument/2006/relationships/hyperlink" Target="consultantplus://offline/ref=918229339C641C37AF1002A4ED790781B88865CBFC72E75CE3F5615F6B543F302ED2220BE64997805A8BA54790D7A90BBA7B329E164E5E7BD701097EX0GEL" TargetMode = "External"/>
	<Relationship Id="rId196" Type="http://schemas.openxmlformats.org/officeDocument/2006/relationships/hyperlink" Target="consultantplus://offline/ref=918229339C641C37AF1002A4ED790781B88865CBFC7FEF54EEF6615F6B543F302ED2220BE64997805A8AAC4B90D7A90BBA7B329E164E5E7BD701097EX0GEL" TargetMode = "External"/>
	<Relationship Id="rId197" Type="http://schemas.openxmlformats.org/officeDocument/2006/relationships/hyperlink" Target="consultantplus://offline/ref=918229339C641C37AF1002A4ED790781B88865CBFC7CEC51E0F8615F6B543F302ED2220BE64997805A8BA54799D7A90BBA7B329E164E5E7BD701097EX0GEL" TargetMode = "External"/>
	<Relationship Id="rId198" Type="http://schemas.openxmlformats.org/officeDocument/2006/relationships/hyperlink" Target="consultantplus://offline/ref=918229339C641C37AF1002A4ED790781B88865CBFC7DEF54E7F3615F6B543F302ED2220BE64997805A8BA54990D7A90BBA7B329E164E5E7BD701097EX0GEL" TargetMode = "External"/>
	<Relationship Id="rId199" Type="http://schemas.openxmlformats.org/officeDocument/2006/relationships/hyperlink" Target="consultantplus://offline/ref=918229339C641C37AF1002A4ED790781B88865CBFC72E754E1F3615F6B543F302ED2220BE64997805A8BA34D99D7A90BBA7B329E164E5E7BD701097EX0GEL" TargetMode = "External"/>
	<Relationship Id="rId200" Type="http://schemas.openxmlformats.org/officeDocument/2006/relationships/hyperlink" Target="consultantplus://offline/ref=918229339C641C37AF1002A4ED790781B88865CBFC72E754E1F3615F6B543F302ED2220BE64997805A8AA1499AD7A90BBA7B329E164E5E7BD701097EX0GEL" TargetMode = "External"/>
	<Relationship Id="rId201" Type="http://schemas.openxmlformats.org/officeDocument/2006/relationships/hyperlink" Target="consultantplus://offline/ref=918229339C641C37AF1002A4ED790781B88865CBFC7FEF54EEF6615F6B543F302ED2220BE64997805A8AAC4A9BD7A90BBA7B329E164E5E7BD701097EX0GEL" TargetMode = "External"/>
	<Relationship Id="rId202" Type="http://schemas.openxmlformats.org/officeDocument/2006/relationships/hyperlink" Target="consultantplus://offline/ref=918229339C641C37AF1002A4ED790781B88865CBFC72E75CE3F5615F6B543F302ED2220BE64997805A8BA44E9AD7A90BBA7B329E164E5E7BD701097EX0GEL" TargetMode = "External"/>
	<Relationship Id="rId203" Type="http://schemas.openxmlformats.org/officeDocument/2006/relationships/hyperlink" Target="consultantplus://offline/ref=918229339C641C37AF1002A4ED790781B88865CBFC7DEF54E7F3615F6B543F302ED2220BE64997805A8BA54899D7A90BBA7B329E164E5E7BD701097EX0GEL" TargetMode = "External"/>
	<Relationship Id="rId204" Type="http://schemas.openxmlformats.org/officeDocument/2006/relationships/hyperlink" Target="consultantplus://offline/ref=918229339C641C37AF1002A4ED790781B88865CBFC7DE955E5F9615F6B543F302ED2220BE64997805B82AE1BC898A857FC28219D114E5D7ACBX0G0L" TargetMode = "External"/>
	<Relationship Id="rId205" Type="http://schemas.openxmlformats.org/officeDocument/2006/relationships/hyperlink" Target="consultantplus://offline/ref=918229339C641C37AF1002A4ED790781B88865CBFC7DEF54E7F3615F6B543F302ED2220BE64997805A8BA54898D7A90BBA7B329E164E5E7BD701097EX0GEL" TargetMode = "External"/>
	<Relationship Id="rId206" Type="http://schemas.openxmlformats.org/officeDocument/2006/relationships/image" Target="media/image2.wmf"/>
	<Relationship Id="rId207" Type="http://schemas.openxmlformats.org/officeDocument/2006/relationships/image" Target="media/image3.wmf"/>
	<Relationship Id="rId208" Type="http://schemas.openxmlformats.org/officeDocument/2006/relationships/hyperlink" Target="consultantplus://offline/ref=918229339C641C37AF1002A4ED790781B88865CBFC72E75CE3F5615F6B543F302ED2220BE64997805A8BA54C9ED7A90BBA7B329E164E5E7BD701097EX0GEL" TargetMode = "External"/>
	<Relationship Id="rId209" Type="http://schemas.openxmlformats.org/officeDocument/2006/relationships/hyperlink" Target="consultantplus://offline/ref=918229339C641C37AF1002A4ED790781B88865CBFC72E754E1F3615F6B543F302ED2220BE64997805A8BA54E9BD7A90BBA7B329E164E5E7BD701097EX0GEL" TargetMode = "External"/>
	<Relationship Id="rId210" Type="http://schemas.openxmlformats.org/officeDocument/2006/relationships/hyperlink" Target="consultantplus://offline/ref=918229339C641C37AF1002A4ED790781B88865CBFC72E754E1F3615F6B543F302ED2220BE64997805A8BA54E9BD7A90BBA7B329E164E5E7BD701097EX0GEL" TargetMode = "External"/>
	<Relationship Id="rId211" Type="http://schemas.openxmlformats.org/officeDocument/2006/relationships/hyperlink" Target="consultantplus://offline/ref=918229339C641C37AF1002A4ED790781B88865CBFC72E75CE3F5615F6B543F302ED2220BE64997805A8BA54990D7A90BBA7B329E164E5E7BD701097EX0GEL" TargetMode = "External"/>
	<Relationship Id="rId212" Type="http://schemas.openxmlformats.org/officeDocument/2006/relationships/hyperlink" Target="consultantplus://offline/ref=918229339C641C37AF1002A4ED790781B88865CBFC72E75CE3F5615F6B543F302ED2220BE64997805A8BA54790D7A90BBA7B329E164E5E7BD701097EX0GEL" TargetMode = "External"/>
	<Relationship Id="rId213" Type="http://schemas.openxmlformats.org/officeDocument/2006/relationships/hyperlink" Target="consultantplus://offline/ref=918229339C641C37AF1002A4ED790781B88865CBFC72E75CE3F5615F6B543F302ED2220BE64997805A8BA54990D7A90BBA7B329E164E5E7BD701097EX0GEL" TargetMode = "External"/>
	<Relationship Id="rId214" Type="http://schemas.openxmlformats.org/officeDocument/2006/relationships/hyperlink" Target="consultantplus://offline/ref=918229339C641C37AF1002A4ED790781B88865CBFC72E75CE3F5615F6B543F302ED2220BE64997805A8BA54790D7A90BBA7B329E164E5E7BD701097EX0GEL" TargetMode = "External"/>
	<Relationship Id="rId215" Type="http://schemas.openxmlformats.org/officeDocument/2006/relationships/hyperlink" Target="consultantplus://offline/ref=918229339C641C37AF1002A4ED790781B88865CBFC72E75CE3F5615F6B543F302ED2220BE64997805A8BA5469ED7A90BBA7B329E164E5E7BD701097EX0GEL" TargetMode = "External"/>
	<Relationship Id="rId216" Type="http://schemas.openxmlformats.org/officeDocument/2006/relationships/hyperlink" Target="consultantplus://offline/ref=918229339C641C37AF1002A4ED790781B88865CBFC72E75CE3F5615F6B543F302ED2220BE64997805A8BA54990D7A90BBA7B329E164E5E7BD701097EX0GEL" TargetMode = "External"/>
	<Relationship Id="rId217" Type="http://schemas.openxmlformats.org/officeDocument/2006/relationships/hyperlink" Target="consultantplus://offline/ref=918229339C641C37AF1002A4ED790781B88865CBFC72E75CE3F5615F6B543F302ED2220BE64997805A8BA54790D7A90BBA7B329E164E5E7BD701097EX0GEL" TargetMode = "External"/>
	<Relationship Id="rId218" Type="http://schemas.openxmlformats.org/officeDocument/2006/relationships/hyperlink" Target="consultantplus://offline/ref=918229339C641C37AF1002A4ED790781B88865CBFC7CEC51E0F8615F6B543F302ED2220BE64997805A8BA54799D7A90BBA7B329E164E5E7BD701097EX0GEL" TargetMode = "External"/>
	<Relationship Id="rId219" Type="http://schemas.openxmlformats.org/officeDocument/2006/relationships/hyperlink" Target="consultantplus://offline/ref=918229339C641C37AF101CA9FB15508EBA873DC7F873E503BBA46708340439657C927C52A70B84805B95A74F9BXDGFL" TargetMode = "External"/>
	<Relationship Id="rId220" Type="http://schemas.openxmlformats.org/officeDocument/2006/relationships/hyperlink" Target="consultantplus://offline/ref=918229339C641C37AF1002A4ED790781B88865CBFC7CEC51E0F8615F6B543F302ED2220BE64997805A8BA54799D7A90BBA7B329E164E5E7BD701097EX0GEL" TargetMode = "External"/>
	<Relationship Id="rId221" Type="http://schemas.openxmlformats.org/officeDocument/2006/relationships/hyperlink" Target="consultantplus://offline/ref=918229339C641C37AF101CA9FB15508EBC8139C2F97AE503BBA46708340439657C927C52A70B84805B95A74F9BXDGFL" TargetMode = "External"/>
	<Relationship Id="rId222" Type="http://schemas.openxmlformats.org/officeDocument/2006/relationships/hyperlink" Target="consultantplus://offline/ref=918229339C641C37AF101CA9FB15508EBF8132C5FA7EE503BBA46708340439656E92245EA50D9A825E80F11EDD89F058F8303E9D0E525F78XCGAL" TargetMode = "External"/>
	<Relationship Id="rId223" Type="http://schemas.openxmlformats.org/officeDocument/2006/relationships/hyperlink" Target="consultantplus://offline/ref=918229339C641C37AF1002A4ED790781B88865CBFC7FE652E4F0615F6B543F302ED2220BE64997805A8BA54899D7A90BBA7B329E164E5E7BD701097EX0GEL" TargetMode = "External"/>
	<Relationship Id="rId224" Type="http://schemas.openxmlformats.org/officeDocument/2006/relationships/hyperlink" Target="consultantplus://offline/ref=918229339C641C37AF1002A4ED790781B88865CBFC7FEF54EEF6615F6B543F302ED2220BE64997805A8AAC4A9CD7A90BBA7B329E164E5E7BD701097EX0GEL" TargetMode = "External"/>
	<Relationship Id="rId225" Type="http://schemas.openxmlformats.org/officeDocument/2006/relationships/hyperlink" Target="consultantplus://offline/ref=918229339C641C37AF1002A4ED790781B88865CBFC7DEF54E7F3615F6B543F302ED2220BE64997805A8BA5489AD7A90BBA7B329E164E5E7BD701097EX0GEL" TargetMode = "External"/>
	<Relationship Id="rId226" Type="http://schemas.openxmlformats.org/officeDocument/2006/relationships/hyperlink" Target="consultantplus://offline/ref=918229339C641C37AF1002A4ED790781B88865CBFC72E650E0F3615F6B543F302ED2220BE64997805A89A04890D7A90BBA7B329E164E5E7BD701097EX0GEL" TargetMode = "External"/>
	<Relationship Id="rId227" Type="http://schemas.openxmlformats.org/officeDocument/2006/relationships/hyperlink" Target="consultantplus://offline/ref=918229339C641C37AF1002A4ED790781B88865CBFC72E754E1F3615F6B543F302ED2220BE64997805A8BA34D99D7A90BBA7B329E164E5E7BD701097EX0GEL" TargetMode = "External"/>
	<Relationship Id="rId228" Type="http://schemas.openxmlformats.org/officeDocument/2006/relationships/hyperlink" Target="consultantplus://offline/ref=918229339C641C37AF1002A4ED790781B88865CBFC72E650E0F3615F6B543F302ED2220BE64997805A89A04799D7A90BBA7B329E164E5E7BD701097EX0GEL" TargetMode = "External"/>
	<Relationship Id="rId229" Type="http://schemas.openxmlformats.org/officeDocument/2006/relationships/hyperlink" Target="consultantplus://offline/ref=918229339C641C37AF1002A4ED790781B88865CBFC72E75CE3F5615F6B543F302ED2220BE64997805A8BA44E9AD7A90BBA7B329E164E5E7BD701097EX0GEL" TargetMode = "External"/>
	<Relationship Id="rId230" Type="http://schemas.openxmlformats.org/officeDocument/2006/relationships/hyperlink" Target="consultantplus://offline/ref=918229339C641C37AF1002A4ED790781B88865CBFC7DEF54E7F3615F6B543F302ED2220BE64997805A8BA5489DD7A90BBA7B329E164E5E7BD701097EX0GEL" TargetMode = "External"/>
	<Relationship Id="rId231" Type="http://schemas.openxmlformats.org/officeDocument/2006/relationships/hyperlink" Target="consultantplus://offline/ref=918229339C641C37AF1002A4ED790781B88865CBFC7DEF54E7F3615F6B543F302ED2220BE64997805A8BA5489CD7A90BBA7B329E164E5E7BD701097EX0GEL" TargetMode = "External"/>
	<Relationship Id="rId232" Type="http://schemas.openxmlformats.org/officeDocument/2006/relationships/hyperlink" Target="consultantplus://offline/ref=918229339C641C37AF1002A4ED790781B88865CBFC7DE955E5F9615F6B543F302ED2220BE64997805B82AE1BC898A857FC28219D114E5D7ACBX0G0L" TargetMode = "External"/>
	<Relationship Id="rId233" Type="http://schemas.openxmlformats.org/officeDocument/2006/relationships/hyperlink" Target="consultantplus://offline/ref=918229339C641C37AF1002A4ED790781B88865CBFC72E75CE3F5615F6B543F302ED2220BE64997805A8BA54C9ED7A90BBA7B329E164E5E7BD701097EX0GEL" TargetMode = "External"/>
	<Relationship Id="rId234" Type="http://schemas.openxmlformats.org/officeDocument/2006/relationships/hyperlink" Target="consultantplus://offline/ref=918229339C641C37AF1002A4ED790781B88865CBFC72E754E1F3615F6B543F302ED2220BE64997805A8BA54E9BD7A90BBA7B329E164E5E7BD701097EX0GEL" TargetMode = "External"/>
	<Relationship Id="rId235" Type="http://schemas.openxmlformats.org/officeDocument/2006/relationships/hyperlink" Target="consultantplus://offline/ref=918229339C641C37AF1002A4ED790781B88865CBFC72E754E1F3615F6B543F302ED2220BE64997805A8BA54E9BD7A90BBA7B329E164E5E7BD701097EX0GEL" TargetMode = "External"/>
	<Relationship Id="rId236" Type="http://schemas.openxmlformats.org/officeDocument/2006/relationships/hyperlink" Target="consultantplus://offline/ref=918229339C641C37AF1002A4ED790781B88865CBFC7FEF54EEF6615F6B543F302ED2220BE64997805A8AAC4A9CD7A90BBA7B329E164E5E7BD701097EX0GEL" TargetMode = "External"/>
	<Relationship Id="rId237" Type="http://schemas.openxmlformats.org/officeDocument/2006/relationships/hyperlink" Target="consultantplus://offline/ref=918229339C641C37AF1002A4ED790781B88865CBFC72E75CE3F5615F6B543F302ED2220BE64997805A8BA54990D7A90BBA7B329E164E5E7BD701097EX0GEL" TargetMode = "External"/>
	<Relationship Id="rId238" Type="http://schemas.openxmlformats.org/officeDocument/2006/relationships/hyperlink" Target="consultantplus://offline/ref=918229339C641C37AF1002A4ED790781B88865CBFC72E75CE3F5615F6B543F302ED2220BE64997805A8BA54790D7A90BBA7B329E164E5E7BD701097EX0GEL" TargetMode = "External"/>
	<Relationship Id="rId239" Type="http://schemas.openxmlformats.org/officeDocument/2006/relationships/hyperlink" Target="consultantplus://offline/ref=918229339C641C37AF1002A4ED790781B88865CBFC72E75CE3F5615F6B543F302ED2220BE64997805A8BA54990D7A90BBA7B329E164E5E7BD701097EX0GEL" TargetMode = "External"/>
	<Relationship Id="rId240" Type="http://schemas.openxmlformats.org/officeDocument/2006/relationships/hyperlink" Target="consultantplus://offline/ref=918229339C641C37AF1002A4ED790781B88865CBFC72E75CE3F5615F6B543F302ED2220BE64997805A8BA54790D7A90BBA7B329E164E5E7BD701097EX0GEL" TargetMode = "External"/>
	<Relationship Id="rId241" Type="http://schemas.openxmlformats.org/officeDocument/2006/relationships/hyperlink" Target="consultantplus://offline/ref=918229339C641C37AF1002A4ED790781B88865CBFC72E75CE3F5615F6B543F302ED2220BE64997805A8BA54691D7A90BBA7B329E164E5E7BD701097EX0GEL" TargetMode = "External"/>
	<Relationship Id="rId242" Type="http://schemas.openxmlformats.org/officeDocument/2006/relationships/hyperlink" Target="consultantplus://offline/ref=918229339C641C37AF1002A4ED790781B88865CBFC72E75CE3F5615F6B543F302ED2220BE64997805A8BA54990D7A90BBA7B329E164E5E7BD701097EX0GEL" TargetMode = "External"/>
	<Relationship Id="rId243" Type="http://schemas.openxmlformats.org/officeDocument/2006/relationships/hyperlink" Target="consultantplus://offline/ref=918229339C641C37AF1002A4ED790781B88865CBFC72E75CE3F5615F6B543F302ED2220BE64997805A8BA54790D7A90BBA7B329E164E5E7BD701097EX0GEL" TargetMode = "External"/>
	<Relationship Id="rId244" Type="http://schemas.openxmlformats.org/officeDocument/2006/relationships/hyperlink" Target="consultantplus://offline/ref=918229339C641C37AF1002A4ED790781B88865CBFC72E650E0F3615F6B543F302ED2220BE64997805A89A04798D7A90BBA7B329E164E5E7BD701097EX0GEL" TargetMode = "External"/>
	<Relationship Id="rId245" Type="http://schemas.openxmlformats.org/officeDocument/2006/relationships/hyperlink" Target="consultantplus://offline/ref=918229339C641C37AF1002A4ED790781B88865CBFC7FEF54EEF6615F6B543F302ED2220BE64997805A8AAC4A9FD7A90BBA7B329E164E5E7BD701097EX0GEL" TargetMode = "External"/>
	<Relationship Id="rId246" Type="http://schemas.openxmlformats.org/officeDocument/2006/relationships/hyperlink" Target="consultantplus://offline/ref=918229339C641C37AF1002A4ED790781B88865CBFC7DEF54E7F3615F6B543F302ED2220BE64997805A8BA5479AD7A90BBA7B329E164E5E7BD701097EX0GEL" TargetMode = "External"/>
	<Relationship Id="rId247" Type="http://schemas.openxmlformats.org/officeDocument/2006/relationships/hyperlink" Target="consultantplus://offline/ref=918229339C641C37AF1002A4ED790781B88865CBFC72E754E1F3615F6B543F302ED2220BE64997805A8BA2499AD7A90BBA7B329E164E5E7BD701097EX0GEL" TargetMode = "External"/>
	<Relationship Id="rId248" Type="http://schemas.openxmlformats.org/officeDocument/2006/relationships/hyperlink" Target="consultantplus://offline/ref=918229339C641C37AF1002A4ED790781B88865CBFC7FEF54EEF6615F6B543F302ED2220BE64997805A8AAC4A90D7A90BBA7B329E164E5E7BD701097EX0GEL" TargetMode = "External"/>
	<Relationship Id="rId249" Type="http://schemas.openxmlformats.org/officeDocument/2006/relationships/hyperlink" Target="consultantplus://offline/ref=918229339C641C37AF1002A4ED790781B88865CBFC7DEF54E7F3615F6B543F302ED2220BE64997805A8BA5479DD7A90BBA7B329E164E5E7BD701097EX0GEL" TargetMode = "External"/>
	<Relationship Id="rId250" Type="http://schemas.openxmlformats.org/officeDocument/2006/relationships/hyperlink" Target="consultantplus://offline/ref=918229339C641C37AF1002A4ED790781B88865CBFC72E754E1F3615F6B543F302ED2220BE64997805A89A74B9BD7A90BBA7B329E164E5E7BD701097EX0GEL" TargetMode = "External"/>
	<Relationship Id="rId251" Type="http://schemas.openxmlformats.org/officeDocument/2006/relationships/hyperlink" Target="consultantplus://offline/ref=918229339C641C37AF1002A4ED790781B88865CBFC7CEF52EFF4615F6B543F302ED2220BF449CF8C588DBB4E98C2FF5AFCX2GDL" TargetMode = "External"/>
	<Relationship Id="rId252" Type="http://schemas.openxmlformats.org/officeDocument/2006/relationships/hyperlink" Target="consultantplus://offline/ref=918229339C641C37AF1002A4ED790781B88865CBFC72E75CE3F5615F6B543F302ED2220BE64997805A8BA44E9AD7A90BBA7B329E164E5E7BD701097EX0GEL" TargetMode = "External"/>
	<Relationship Id="rId253" Type="http://schemas.openxmlformats.org/officeDocument/2006/relationships/hyperlink" Target="consultantplus://offline/ref=918229339C641C37AF1002A4ED790781B88865CBFC7DE955E5F9615F6B543F302ED2220BE64997805B82AE1BC898A857FC28219D114E5D7ACBX0G0L" TargetMode = "External"/>
	<Relationship Id="rId254" Type="http://schemas.openxmlformats.org/officeDocument/2006/relationships/image" Target="media/image4.wmf"/>
	<Relationship Id="rId255" Type="http://schemas.openxmlformats.org/officeDocument/2006/relationships/hyperlink" Target="consultantplus://offline/ref=918229339C641C37AF1002A4ED790781B88865CBFC7DEF54E7F3615F6B543F302ED2220BE64997805A8BA5479CD7A90BBA7B329E164E5E7BD701097EX0GEL" TargetMode = "External"/>
	<Relationship Id="rId256" Type="http://schemas.openxmlformats.org/officeDocument/2006/relationships/hyperlink" Target="consultantplus://offline/ref=918229339C641C37AF1002A4ED790781B88865CBFC72E75CE3F5615F6B543F302ED2220BE64997805A8BA54C9ED7A90BBA7B329E164E5E7BD701097EX0GEL" TargetMode = "External"/>
	<Relationship Id="rId257" Type="http://schemas.openxmlformats.org/officeDocument/2006/relationships/hyperlink" Target="consultantplus://offline/ref=918229339C641C37AF1002A4ED790781B88865CBFC72E754E1F3615F6B543F302ED2220BE64997805A8BA54E9BD7A90BBA7B329E164E5E7BD701097EX0GEL" TargetMode = "External"/>
	<Relationship Id="rId258" Type="http://schemas.openxmlformats.org/officeDocument/2006/relationships/hyperlink" Target="consultantplus://offline/ref=918229339C641C37AF1002A4ED790781B88865CBFC72E754E1F3615F6B543F302ED2220BE64997805A8BA54E9BD7A90BBA7B329E164E5E7BD701097EX0GEL" TargetMode = "External"/>
	<Relationship Id="rId259" Type="http://schemas.openxmlformats.org/officeDocument/2006/relationships/hyperlink" Target="consultantplus://offline/ref=918229339C641C37AF1002A4ED790781B88865CBFC72E75CE3F5615F6B543F302ED2220BE64997805A8BA54990D7A90BBA7B329E164E5E7BD701097EX0GEL" TargetMode = "External"/>
	<Relationship Id="rId260" Type="http://schemas.openxmlformats.org/officeDocument/2006/relationships/hyperlink" Target="consultantplus://offline/ref=918229339C641C37AF1002A4ED790781B88865CBFC72E75CE3F5615F6B543F302ED2220BE64997805A8BA54790D7A90BBA7B329E164E5E7BD701097EX0GEL" TargetMode = "External"/>
	<Relationship Id="rId261" Type="http://schemas.openxmlformats.org/officeDocument/2006/relationships/hyperlink" Target="consultantplus://offline/ref=918229339C641C37AF1002A4ED790781B88865CBFC72E75CE3F5615F6B543F302ED2220BE64997805A8BA54990D7A90BBA7B329E164E5E7BD701097EX0GEL" TargetMode = "External"/>
	<Relationship Id="rId262" Type="http://schemas.openxmlformats.org/officeDocument/2006/relationships/hyperlink" Target="consultantplus://offline/ref=918229339C641C37AF1002A4ED790781B88865CBFC72E75CE3F5615F6B543F302ED2220BE64997805A8BA54790D7A90BBA7B329E164E5E7BD701097EX0GEL" TargetMode = "External"/>
	<Relationship Id="rId263" Type="http://schemas.openxmlformats.org/officeDocument/2006/relationships/hyperlink" Target="consultantplus://offline/ref=918229339C641C37AF1002A4ED790781B88865CBFC72E75CE3F5615F6B543F302ED2220BE64997805A8BA54691D7A90BBA7B329E164E5E7BD701097EX0GEL" TargetMode = "External"/>
	<Relationship Id="rId264" Type="http://schemas.openxmlformats.org/officeDocument/2006/relationships/hyperlink" Target="consultantplus://offline/ref=918229339C641C37AF1002A4ED790781B88865CBFC72E75CE3F5615F6B543F302ED2220BE64997805A8BA54990D7A90BBA7B329E164E5E7BD701097EX0GEL" TargetMode = "External"/>
	<Relationship Id="rId265" Type="http://schemas.openxmlformats.org/officeDocument/2006/relationships/hyperlink" Target="consultantplus://offline/ref=918229339C641C37AF1002A4ED790781B88865CBFC72E75CE3F5615F6B543F302ED2220BE64997805A8BA54790D7A90BBA7B329E164E5E7BD701097EX0GEL" TargetMode = "External"/>
	<Relationship Id="rId266" Type="http://schemas.openxmlformats.org/officeDocument/2006/relationships/hyperlink" Target="consultantplus://offline/ref=918229339C641C37AF1002A4ED790781B88865CBFC7FEF54EEF6615F6B543F302ED2220BE64997805A8AAC4999D7A90BBA7B329E164E5E7BD701097EX0GEL" TargetMode = "External"/>
	<Relationship Id="rId267" Type="http://schemas.openxmlformats.org/officeDocument/2006/relationships/hyperlink" Target="consultantplus://offline/ref=918229339C641C37AF1002A4ED790781B88865CBFC7CEC51E0F8615F6B543F302ED2220BE64997805A8BA54798D7A90BBA7B329E164E5E7BD701097EX0GEL" TargetMode = "External"/>
	<Relationship Id="rId268" Type="http://schemas.openxmlformats.org/officeDocument/2006/relationships/hyperlink" Target="consultantplus://offline/ref=918229339C641C37AF1002A4ED790781B88865CBFC7DEF54E7F3615F6B543F302ED2220BE64997805A8BA5479ED7A90BBA7B329E164E5E7BD701097EX0GEL" TargetMode = "External"/>
	<Relationship Id="rId269" Type="http://schemas.openxmlformats.org/officeDocument/2006/relationships/hyperlink" Target="consultantplus://offline/ref=918229339C641C37AF1002A4ED790781B88865CBFC7FEF54EEF6615F6B543F302ED2220BE64997805A8AAC499AD7A90BBA7B329E164E5E7BD701097EX0GEL" TargetMode = "External"/>
	<Relationship Id="rId270" Type="http://schemas.openxmlformats.org/officeDocument/2006/relationships/hyperlink" Target="consultantplus://offline/ref=918229339C641C37AF1002A4ED790781B88865CBFC72E754E1F3615F6B543F302ED2220BE64997805A8AA5469DD7A90BBA7B329E164E5E7BD701097EX0GEL" TargetMode = "External"/>
	<Relationship Id="rId271" Type="http://schemas.openxmlformats.org/officeDocument/2006/relationships/hyperlink" Target="consultantplus://offline/ref=918229339C641C37AF1002A4ED790781B88865CBFC7FEF54EEF6615F6B543F302ED2220BE64997805A8AAC499DD7A90BBA7B329E164E5E7BD701097EX0GEL" TargetMode = "External"/>
	<Relationship Id="rId272" Type="http://schemas.openxmlformats.org/officeDocument/2006/relationships/hyperlink" Target="consultantplus://offline/ref=918229339C641C37AF1002A4ED790781B88865CBFC7CEC51E0F8615F6B543F302ED2220BE64997805A8BA5479AD7A90BBA7B329E164E5E7BD701097EX0GEL" TargetMode = "External"/>
	<Relationship Id="rId273" Type="http://schemas.openxmlformats.org/officeDocument/2006/relationships/hyperlink" Target="consultantplus://offline/ref=918229339C641C37AF1002A4ED790781B88865CBFC7CEC51E0F8615F6B543F302ED2220BE64997805A8BA5479DD7A90BBA7B329E164E5E7BD701097EX0GEL" TargetMode = "External"/>
	<Relationship Id="rId274" Type="http://schemas.openxmlformats.org/officeDocument/2006/relationships/hyperlink" Target="consultantplus://offline/ref=918229339C641C37AF1002A4ED790781B88865CBFC7CEC51E0F8615F6B543F302ED2220BE64997805A8BA5469CD7A90BBA7B329E164E5E7BD701097EX0GEL" TargetMode = "External"/>
	<Relationship Id="rId275" Type="http://schemas.openxmlformats.org/officeDocument/2006/relationships/hyperlink" Target="consultantplus://offline/ref=918229339C641C37AF1002A4ED790781B88865CBFC7CEC51E0F8615F6B543F302ED2220BE64997805A8BA44F9AD7A90BBA7B329E164E5E7BD701097EX0GEL" TargetMode = "External"/>
	<Relationship Id="rId276" Type="http://schemas.openxmlformats.org/officeDocument/2006/relationships/hyperlink" Target="consultantplus://offline/ref=918229339C641C37AF1002A4ED790781B88865CBFC7CEC51E0F8615F6B543F302ED2220BE64997805A8BA44F9FD7A90BBA7B329E164E5E7BD701097EX0GEL" TargetMode = "External"/>
	<Relationship Id="rId277" Type="http://schemas.openxmlformats.org/officeDocument/2006/relationships/hyperlink" Target="consultantplus://offline/ref=918229339C641C37AF1002A4ED790781B88865CBFC7CEC51E0F8615F6B543F302ED2220BE64997805A8BA44F91D7A90BBA7B329E164E5E7BD701097EX0GEL" TargetMode = "External"/>
	<Relationship Id="rId278" Type="http://schemas.openxmlformats.org/officeDocument/2006/relationships/hyperlink" Target="consultantplus://offline/ref=918229339C641C37AF1002A4ED790781B88865CBFC7DEF54E7F3615F6B543F302ED2220BE64997805A8BA54791D7A90BBA7B329E164E5E7BD701097EX0GEL" TargetMode = "External"/>
	<Relationship Id="rId279" Type="http://schemas.openxmlformats.org/officeDocument/2006/relationships/hyperlink" Target="consultantplus://offline/ref=918229339C641C37AF1002A4ED790781B88865CBFC7FEF54EEF6615F6B543F302ED2220BE64997805A8AAC499FD7A90BBA7B329E164E5E7BD701097EX0GEL" TargetMode = "External"/>
	<Relationship Id="rId280" Type="http://schemas.openxmlformats.org/officeDocument/2006/relationships/hyperlink" Target="consultantplus://offline/ref=918229339C641C37AF1002A4ED790781B88865CBFC7DEF54E7F3615F6B543F302ED2220BE64997805A8BA54790D7A90BBA7B329E164E5E7BD701097EX0GEL" TargetMode = "External"/>
	<Relationship Id="rId281" Type="http://schemas.openxmlformats.org/officeDocument/2006/relationships/hyperlink" Target="consultantplus://offline/ref=918229339C641C37AF1002A4ED790781B88865CBFC7DE955E5F9615F6B543F302ED2220BE64997805B82AE1BC898A857FC28219D114E5D7ACBX0G0L" TargetMode = "External"/>
	<Relationship Id="rId282" Type="http://schemas.openxmlformats.org/officeDocument/2006/relationships/hyperlink" Target="consultantplus://offline/ref=918229339C641C37AF1002A4ED790781B88865CBFC72E75CE3F5615F6B543F302ED2220BE64997805A8BA54C9ED7A90BBA7B329E164E5E7BD701097EX0GEL" TargetMode = "External"/>
	<Relationship Id="rId283" Type="http://schemas.openxmlformats.org/officeDocument/2006/relationships/hyperlink" Target="consultantplus://offline/ref=918229339C641C37AF1002A4ED790781B88865CBFC72E754E1F3615F6B543F302ED2220BE64997805A8BA54E9BD7A90BBA7B329E164E5E7BD701097EX0GEL" TargetMode = "External"/>
	<Relationship Id="rId284" Type="http://schemas.openxmlformats.org/officeDocument/2006/relationships/hyperlink" Target="consultantplus://offline/ref=918229339C641C37AF1002A4ED790781B88865CBFC72E754E1F3615F6B543F302ED2220BE64997805A8BA54E9BD7A90BBA7B329E164E5E7BD701097EX0GEL" TargetMode = "External"/>
	<Relationship Id="rId285" Type="http://schemas.openxmlformats.org/officeDocument/2006/relationships/hyperlink" Target="consultantplus://offline/ref=918229339C641C37AF1002A4ED790781B88865CBFC72E75CE3F5615F6B543F302ED2220BE64997805A8BA54990D7A90BBA7B329E164E5E7BD701097EX0GEL" TargetMode = "External"/>
	<Relationship Id="rId286" Type="http://schemas.openxmlformats.org/officeDocument/2006/relationships/hyperlink" Target="consultantplus://offline/ref=918229339C641C37AF1002A4ED790781B88865CBFC72E75CE3F5615F6B543F302ED2220BE64997805A8BA54790D7A90BBA7B329E164E5E7BD701097EX0GEL" TargetMode = "External"/>
	<Relationship Id="rId287" Type="http://schemas.openxmlformats.org/officeDocument/2006/relationships/hyperlink" Target="consultantplus://offline/ref=918229339C641C37AF1002A4ED790781B88865CBFC72E75CE3F5615F6B543F302ED2220BE64997805A8BA54990D7A90BBA7B329E164E5E7BD701097EX0GEL" TargetMode = "External"/>
	<Relationship Id="rId288" Type="http://schemas.openxmlformats.org/officeDocument/2006/relationships/hyperlink" Target="consultantplus://offline/ref=918229339C641C37AF1002A4ED790781B88865CBFC72E75CE3F5615F6B543F302ED2220BE64997805A8BA54790D7A90BBA7B329E164E5E7BD701097EX0GEL" TargetMode = "External"/>
	<Relationship Id="rId289" Type="http://schemas.openxmlformats.org/officeDocument/2006/relationships/hyperlink" Target="consultantplus://offline/ref=918229339C641C37AF1002A4ED790781B88865CBFC72E75CE3F5615F6B543F302ED2220BE64997805A8BA54691D7A90BBA7B329E164E5E7BD701097EX0GEL" TargetMode = "External"/>
	<Relationship Id="rId290" Type="http://schemas.openxmlformats.org/officeDocument/2006/relationships/hyperlink" Target="consultantplus://offline/ref=918229339C641C37AF1002A4ED790781B88865CBFC72E75CE3F5615F6B543F302ED2220BE64997805A8BA54990D7A90BBA7B329E164E5E7BD701097EX0GEL" TargetMode = "External"/>
	<Relationship Id="rId291" Type="http://schemas.openxmlformats.org/officeDocument/2006/relationships/hyperlink" Target="consultantplus://offline/ref=918229339C641C37AF1002A4ED790781B88865CBFC72E75CE3F5615F6B543F302ED2220BE64997805A8BA54790D7A90BBA7B329E164E5E7BD701097EX0GEL" TargetMode = "External"/>
	<Relationship Id="rId292" Type="http://schemas.openxmlformats.org/officeDocument/2006/relationships/hyperlink" Target="consultantplus://offline/ref=918229339C641C37AF1002A4ED790781B88865CBFC7CEC51E0F8615F6B543F302ED2220BE64997805A8BA44E99D7A90BBA7B329E164E5E7BD701097EX0GEL" TargetMode = "External"/>
	<Relationship Id="rId293" Type="http://schemas.openxmlformats.org/officeDocument/2006/relationships/hyperlink" Target="consultantplus://offline/ref=918229339C641C37AF1002A4ED790781B88865CBFC7DEF54E7F3615F6B543F302ED2220BE64997805A8BA5469ED7A90BBA7B329E164E5E7BD701097EX0GEL" TargetMode = "External"/>
	<Relationship Id="rId294" Type="http://schemas.openxmlformats.org/officeDocument/2006/relationships/hyperlink" Target="consultantplus://offline/ref=918229339C641C37AF1002A4ED790781B88865CBFC7CEC51E0F8615F6B543F302ED2220BE64997805A8BA44E98D7A90BBA7B329E164E5E7BD701097EX0GEL" TargetMode = "External"/>
	<Relationship Id="rId295" Type="http://schemas.openxmlformats.org/officeDocument/2006/relationships/hyperlink" Target="consultantplus://offline/ref=918229339C641C37AF1002A4ED790781B88865CBFC7CEC51E0F8615F6B543F302ED2220BE64997805A8BA44E9AD7A90BBA7B329E164E5E7BD701097EX0GEL" TargetMode = "External"/>
	<Relationship Id="rId296" Type="http://schemas.openxmlformats.org/officeDocument/2006/relationships/hyperlink" Target="consultantplus://offline/ref=918229339C641C37AF1002A4ED790781B88865CBFC72E754E1F3615F6B543F302ED2220BE64997805A8BA14F98D7A90BBA7B329E164E5E7BD701097EX0GEL" TargetMode = "External"/>
	<Relationship Id="rId297" Type="http://schemas.openxmlformats.org/officeDocument/2006/relationships/hyperlink" Target="consultantplus://offline/ref=918229339C641C37AF1002A4ED790781B88865CBFC7CEC51E0F8615F6B543F302ED2220BE64997805A8BA44D9BD7A90BBA7B329E164E5E7BD701097EX0GEL" TargetMode = "External"/>
	<Relationship Id="rId298" Type="http://schemas.openxmlformats.org/officeDocument/2006/relationships/hyperlink" Target="consultantplus://offline/ref=918229339C641C37AF1002A4ED790781B88865CBFC7CEC51E0F8615F6B543F302ED2220BE64997805A8BA44D9CD7A90BBA7B329E164E5E7BD701097EX0GEL" TargetMode = "External"/>
	<Relationship Id="rId299" Type="http://schemas.openxmlformats.org/officeDocument/2006/relationships/hyperlink" Target="consultantplus://offline/ref=918229339C641C37AF1002A4ED790781B88865CBFC72E754E1F3615F6B543F302ED2220BE64997805A8BA54E9BD7A90BBA7B329E164E5E7BD701097EX0GEL" TargetMode = "External"/>
	<Relationship Id="rId300" Type="http://schemas.openxmlformats.org/officeDocument/2006/relationships/hyperlink" Target="consultantplus://offline/ref=918229339C641C37AF1002A4ED790781B88865CBFC7CEC51E0F8615F6B543F302ED2220BE64997805A8BA44C99D7A90BBA7B329E164E5E7BD701097EX0GEL" TargetMode = "External"/>
	<Relationship Id="rId301" Type="http://schemas.openxmlformats.org/officeDocument/2006/relationships/hyperlink" Target="consultantplus://offline/ref=918229339C641C37AF1002A4ED790781B88865CBFC7CEC51E0F8615F6B543F302ED2220BE64997805A8BA44C98D7A90BBA7B329E164E5E7BD701097EX0GEL" TargetMode = "External"/>
	<Relationship Id="rId302" Type="http://schemas.openxmlformats.org/officeDocument/2006/relationships/hyperlink" Target="consultantplus://offline/ref=918229339C641C37AF1002A4ED790781B88865CBFC7DEF54E7F3615F6B543F302ED2220BE64997805A8BA54691D7A90BBA7B329E164E5E7BD701097EX0GEL" TargetMode = "External"/>
	<Relationship Id="rId303" Type="http://schemas.openxmlformats.org/officeDocument/2006/relationships/hyperlink" Target="consultantplus://offline/ref=918229339C641C37AF1002A4ED790781B88865CBFC7CEC51E0F8615F6B543F302ED2220BE64997805A8BA44C9AD7A90BBA7B329E164E5E7BD701097EX0GEL" TargetMode = "External"/>
	<Relationship Id="rId304" Type="http://schemas.openxmlformats.org/officeDocument/2006/relationships/hyperlink" Target="consultantplus://offline/ref=918229339C641C37AF1002A4ED790781B88865CBFC7DE955E5F9615F6B543F302ED2220BE64997805B82AE1BC898A857FC28219D114E5D7ACBX0G0L" TargetMode = "External"/>
	<Relationship Id="rId305" Type="http://schemas.openxmlformats.org/officeDocument/2006/relationships/hyperlink" Target="consultantplus://offline/ref=918229339C641C37AF1002A4ED790781B88865CBFC7CEC51E0F8615F6B543F302ED2220BE64997805A8BA44C9DD7A90BBA7B329E164E5E7BD701097EX0GEL" TargetMode = "External"/>
	<Relationship Id="rId306" Type="http://schemas.openxmlformats.org/officeDocument/2006/relationships/hyperlink" Target="consultantplus://offline/ref=918229339C641C37AF1002A4ED790781B88865CBFC7DEF54E7F3615F6B543F302ED2220BE64997805A8BA54690D7A90BBA7B329E164E5E7BD701097EX0GEL" TargetMode = "External"/>
	<Relationship Id="rId307" Type="http://schemas.openxmlformats.org/officeDocument/2006/relationships/hyperlink" Target="consultantplus://offline/ref=918229339C641C37AF1002A4ED790781B88865CBFC72E75CE3F5615F6B543F302ED2220BE64997805A8BA54C9ED7A90BBA7B329E164E5E7BD701097EX0GEL" TargetMode = "External"/>
	<Relationship Id="rId308" Type="http://schemas.openxmlformats.org/officeDocument/2006/relationships/hyperlink" Target="consultantplus://offline/ref=918229339C641C37AF1002A4ED790781B88865CBFC7CEC51E0F8615F6B543F302ED2220BE64997805A8BA44C9FD7A90BBA7B329E164E5E7BD701097EX0GEL" TargetMode = "External"/>
	<Relationship Id="rId309" Type="http://schemas.openxmlformats.org/officeDocument/2006/relationships/hyperlink" Target="consultantplus://offline/ref=918229339C641C37AF1002A4ED790781B88865CBFC72E754E1F3615F6B543F302ED2220BE64997805A8BA54E9BD7A90BBA7B329E164E5E7BD701097EX0GEL" TargetMode = "External"/>
	<Relationship Id="rId310" Type="http://schemas.openxmlformats.org/officeDocument/2006/relationships/hyperlink" Target="consultantplus://offline/ref=918229339C641C37AF1002A4ED790781B88865CBFC72E754E1F3615F6B543F302ED2220BE64997805A8BA54E9BD7A90BBA7B329E164E5E7BD701097EX0GEL" TargetMode = "External"/>
	<Relationship Id="rId311" Type="http://schemas.openxmlformats.org/officeDocument/2006/relationships/hyperlink" Target="consultantplus://offline/ref=918229339C641C37AF1002A4ED790781B88865CBFC7CEC51E0F8615F6B543F302ED2220BE64997805A8BA44C91D7A90BBA7B329E164E5E7BD701097EX0GEL" TargetMode = "External"/>
	<Relationship Id="rId312" Type="http://schemas.openxmlformats.org/officeDocument/2006/relationships/hyperlink" Target="consultantplus://offline/ref=918229339C641C37AF1002A4ED790781B88865CBFC72E75CE3F5615F6B543F302ED2220BE64997805A8BA54990D7A90BBA7B329E164E5E7BD701097EX0GEL" TargetMode = "External"/>
	<Relationship Id="rId313" Type="http://schemas.openxmlformats.org/officeDocument/2006/relationships/hyperlink" Target="consultantplus://offline/ref=918229339C641C37AF1002A4ED790781B88865CBFC72E75CE3F5615F6B543F302ED2220BE64997805A8BA54790D7A90BBA7B329E164E5E7BD701097EX0GEL" TargetMode = "External"/>
	<Relationship Id="rId314" Type="http://schemas.openxmlformats.org/officeDocument/2006/relationships/hyperlink" Target="consultantplus://offline/ref=918229339C641C37AF1002A4ED790781B88865CBFC72E75CE3F5615F6B543F302ED2220BE64997805A8BA54990D7A90BBA7B329E164E5E7BD701097EX0GEL" TargetMode = "External"/>
	<Relationship Id="rId315" Type="http://schemas.openxmlformats.org/officeDocument/2006/relationships/hyperlink" Target="consultantplus://offline/ref=918229339C641C37AF1002A4ED790781B88865CBFC72E75CE3F5615F6B543F302ED2220BE64997805A8BA54790D7A90BBA7B329E164E5E7BD701097EX0GEL" TargetMode = "External"/>
	<Relationship Id="rId316" Type="http://schemas.openxmlformats.org/officeDocument/2006/relationships/hyperlink" Target="consultantplus://offline/ref=918229339C641C37AF1002A4ED790781B88865CBFC72E75CE3F5615F6B543F302ED2220BE64997805A8BA54691D7A90BBA7B329E164E5E7BD701097EX0GEL" TargetMode = "External"/>
	<Relationship Id="rId317" Type="http://schemas.openxmlformats.org/officeDocument/2006/relationships/hyperlink" Target="consultantplus://offline/ref=918229339C641C37AF1002A4ED790781B88865CBFC72E75CE3F5615F6B543F302ED2220BE64997805A8BA54990D7A90BBA7B329E164E5E7BD701097EX0GEL" TargetMode = "External"/>
	<Relationship Id="rId318" Type="http://schemas.openxmlformats.org/officeDocument/2006/relationships/hyperlink" Target="consultantplus://offline/ref=918229339C641C37AF1002A4ED790781B88865CBFC72E75CE3F5615F6B543F302ED2220BE64997805A8BA54790D7A90BBA7B329E164E5E7BD701097EX0GEL" TargetMode = "External"/>
	<Relationship Id="rId319" Type="http://schemas.openxmlformats.org/officeDocument/2006/relationships/hyperlink" Target="consultantplus://offline/ref=918229339C641C37AF1002A4ED790781B88865CBFC7DEF54E7F3615F6B543F302ED2220BE64997805A8BA44F9FD7A90BBA7B329E164E5E7BD701097EX0GEL" TargetMode = "External"/>
	<Relationship Id="rId320" Type="http://schemas.openxmlformats.org/officeDocument/2006/relationships/hyperlink" Target="consultantplus://offline/ref=918229339C641C37AF1002A4ED790781B88865CBFC73EF55EFF3615F6B543F302ED2220BE64997805A8BA54D99D7A90BBA7B329E164E5E7BD701097EX0GEL" TargetMode = "External"/>
	<Relationship Id="rId321" Type="http://schemas.openxmlformats.org/officeDocument/2006/relationships/hyperlink" Target="consultantplus://offline/ref=918229339C641C37AF1002A4ED790781B88865CBFC7CE852EEF6615F6B543F302ED2220BE64997805A8BA54F9CD7A90BBA7B329E164E5E7BD701097EX0GEL" TargetMode = "External"/>
	<Relationship Id="rId322" Type="http://schemas.openxmlformats.org/officeDocument/2006/relationships/hyperlink" Target="consultantplus://offline/ref=918229339C641C37AF1002A4ED790781B88865CBFC7CE852EEF6615F6B543F302ED2220BE64997805A8BA54F9FD7A90BBA7B329E164E5E7BD701097EX0GEL" TargetMode = "External"/>
	<Relationship Id="rId323" Type="http://schemas.openxmlformats.org/officeDocument/2006/relationships/hyperlink" Target="consultantplus://offline/ref=918229339C641C37AF1002A4ED790781B88865CBFC7CE852EEF6615F6B543F302ED2220BE64997805A8BA54F9ED7A90BBA7B329E164E5E7BD701097EX0GEL" TargetMode = "External"/>
	<Relationship Id="rId324" Type="http://schemas.openxmlformats.org/officeDocument/2006/relationships/hyperlink" Target="consultantplus://offline/ref=918229339C641C37AF1002A4ED790781B88865CBFC7CE852EEF6615F6B543F302ED2220BE64997805A8BA54E9CD7A90BBA7B329E164E5E7BD701097EX0GEL" TargetMode = "External"/>
	<Relationship Id="rId325" Type="http://schemas.openxmlformats.org/officeDocument/2006/relationships/hyperlink" Target="consultantplus://offline/ref=918229339C641C37AF1002A4ED790781B88865CBFC7CE852EEF6615F6B543F302ED2220BE64997805A8BA54D9BD7A90BBA7B329E164E5E7BD701097EX0GEL" TargetMode = "External"/>
	<Relationship Id="rId326" Type="http://schemas.openxmlformats.org/officeDocument/2006/relationships/hyperlink" Target="consultantplus://offline/ref=918229339C641C37AF1002A4ED790781B88865CBFC7FEF54EEF6615F6B543F302ED2220BE64997805A89A44899D7A90BBA7B329E164E5E7BD701097EX0GEL" TargetMode = "External"/>
	<Relationship Id="rId327" Type="http://schemas.openxmlformats.org/officeDocument/2006/relationships/hyperlink" Target="consultantplus://offline/ref=918229339C641C37AF1002A4ED790781B88865CBFC72E754E1F3615F6B543F302ED2220BE64997805A8BA54E9BD7A90BBA7B329E164E5E7BD701097EX0GEL" TargetMode = "External"/>
	<Relationship Id="rId328" Type="http://schemas.openxmlformats.org/officeDocument/2006/relationships/hyperlink" Target="consultantplus://offline/ref=918229339C641C37AF1002A4ED790781B88865CBFC7FEF54EEF6615F6B543F302ED2220BE64997805A89A44899D7A90BBA7B329E164E5E7BD701097EX0GEL" TargetMode = "External"/>
	<Relationship Id="rId329" Type="http://schemas.openxmlformats.org/officeDocument/2006/relationships/hyperlink" Target="consultantplus://offline/ref=918229339C641C37AF1002A4ED790781B88865CBFC7EE852E5F8615F6B543F302ED2220BE64997805A8FAD4A9ED7A90BBA7B329E164E5E7BD701097EX0GEL" TargetMode = "External"/>
	<Relationship Id="rId330" Type="http://schemas.openxmlformats.org/officeDocument/2006/relationships/hyperlink" Target="consultantplus://offline/ref=918229339C641C37AF1002A4ED790781B88865CBFC7EE852E5F8615F6B543F302ED2220BE64997805A8FAD4A9ED7A90BBA7B329E164E5E7BD701097EX0GEL" TargetMode = "External"/>
	<Relationship Id="rId331" Type="http://schemas.openxmlformats.org/officeDocument/2006/relationships/hyperlink" Target="consultantplus://offline/ref=918229339C641C37AF1002A4ED790781B88865CBFC7EE852E5F8615F6B543F302ED2220BE64997805A8FAD4A9ED7A90BBA7B329E164E5E7BD701097EX0GEL" TargetMode = "External"/>
	<Relationship Id="rId332" Type="http://schemas.openxmlformats.org/officeDocument/2006/relationships/hyperlink" Target="consultantplus://offline/ref=918229339C641C37AF1002A4ED790781B88865CBFC7EE852E5F8615F6B543F302ED2220BE64997805A8FAD4A9ED7A90BBA7B329E164E5E7BD701097EX0GEL" TargetMode = "External"/>
	<Relationship Id="rId333" Type="http://schemas.openxmlformats.org/officeDocument/2006/relationships/hyperlink" Target="consultantplus://offline/ref=918229339C641C37AF1002A4ED790781B88865CBFC7EE852E5F8615F6B543F302ED2220BE64997805A8FAD4A9ED7A90BBA7B329E164E5E7BD701097EX0GEL" TargetMode = "External"/>
	<Relationship Id="rId334" Type="http://schemas.openxmlformats.org/officeDocument/2006/relationships/hyperlink" Target="consultantplus://offline/ref=918229339C641C37AF1002A4ED790781B88865CBFC7EE852E5F8615F6B543F302ED2220BE64997805A8FAD4A9ED7A90BBA7B329E164E5E7BD701097EX0GEL" TargetMode = "External"/>
	<Relationship Id="rId335" Type="http://schemas.openxmlformats.org/officeDocument/2006/relationships/hyperlink" Target="consultantplus://offline/ref=918229339C641C37AF1002A4ED790781B88865CBFC7EE852E5F8615F6B543F302ED2220BE64997805A8FAD4A9ED7A90BBA7B329E164E5E7BD701097EX0GEL" TargetMode = "External"/>
	<Relationship Id="rId336" Type="http://schemas.openxmlformats.org/officeDocument/2006/relationships/hyperlink" Target="consultantplus://offline/ref=918229339C641C37AF1002A4ED790781B88865CBFC7EE852E5F8615F6B543F302ED2220BE64997805A8FAD4A9ED7A90BBA7B329E164E5E7BD701097EX0GEL" TargetMode = "External"/>
	<Relationship Id="rId337" Type="http://schemas.openxmlformats.org/officeDocument/2006/relationships/hyperlink" Target="consultantplus://offline/ref=918229339C641C37AF1002A4ED790781B88865CBFC7EE651E6F2615F6B543F302ED2220BE64997805A8BA54F9CD7A90BBA7B329E164E5E7BD701097EX0GEL" TargetMode = "External"/>
	<Relationship Id="rId338" Type="http://schemas.openxmlformats.org/officeDocument/2006/relationships/hyperlink" Target="consultantplus://offline/ref=918229339C641C37AF1002A4ED790781B88865CBFC7EE651E6F2615F6B543F302ED2220BE64997805A8BA54F9CD7A90BBA7B329E164E5E7BD701097EX0GEL" TargetMode = "External"/>
	<Relationship Id="rId339" Type="http://schemas.openxmlformats.org/officeDocument/2006/relationships/hyperlink" Target="consultantplus://offline/ref=918229339C641C37AF1002A4ED790781B88865CBFC7EE651E6F2615F6B543F302ED2220BE64997805A8BA54E9BD7A90BBA7B329E164E5E7BD701097EX0GEL" TargetMode = "External"/>
	<Relationship Id="rId340" Type="http://schemas.openxmlformats.org/officeDocument/2006/relationships/hyperlink" Target="consultantplus://offline/ref=918229339C641C37AF1002A4ED790781B88865CBFC7EE65CE4F2615F6B543F302ED2220BE64997805A8BA54F91D7A90BBA7B329E164E5E7BD701097EX0GEL" TargetMode = "External"/>
	<Relationship Id="rId341" Type="http://schemas.openxmlformats.org/officeDocument/2006/relationships/header" Target="header2.xml"/>
	<Relationship Id="rId342" Type="http://schemas.openxmlformats.org/officeDocument/2006/relationships/footer" Target="footer2.xml"/>
	<Relationship Id="rId343" Type="http://schemas.openxmlformats.org/officeDocument/2006/relationships/hyperlink" Target="consultantplus://offline/ref=918229339C641C37AF1002A4ED790781B88865CBFC72E754E1F3615F6B543F302ED2220BE64997805A8BA54E9BD7A90BBA7B329E164E5E7BD701097EX0GEL" TargetMode = "External"/>
	<Relationship Id="rId344" Type="http://schemas.openxmlformats.org/officeDocument/2006/relationships/hyperlink" Target="consultantplus://offline/ref=918229339C641C37AF1002A4ED790781B88865CBFC72E754E1F3615F6B543F302ED2220BE64997805A8BA54E9BD7A90BBA7B329E164E5E7BD701097EX0GEL" TargetMode = "External"/>
	<Relationship Id="rId345" Type="http://schemas.openxmlformats.org/officeDocument/2006/relationships/hyperlink" Target="consultantplus://offline/ref=918229339C641C37AF1002A4ED790781B88865CBFC72E754E1F3615F6B543F302ED2220BE64997805A8BA54E9BD7A90BBA7B329E164E5E7BD701097EX0GEL" TargetMode = "External"/>
	<Relationship Id="rId346" Type="http://schemas.openxmlformats.org/officeDocument/2006/relationships/hyperlink" Target="consultantplus://offline/ref=918229339C641C37AF1002A4ED790781B88865CBFC72E754E1F3615F6B543F302ED2220BE64997805A8BA54E9BD7A90BBA7B329E164E5E7BD701097EX0GEL" TargetMode = "External"/>
	<Relationship Id="rId347" Type="http://schemas.openxmlformats.org/officeDocument/2006/relationships/hyperlink" Target="consultantplus://offline/ref=918229339C641C37AF1002A4ED790781B88865CBFC72E754E1F3615F6B543F302ED2220BE64997805A8BA54E9BD7A90BBA7B329E164E5E7BD701097EX0GEL" TargetMode = "External"/>
	<Relationship Id="rId348" Type="http://schemas.openxmlformats.org/officeDocument/2006/relationships/hyperlink" Target="consultantplus://offline/ref=918229339C641C37AF1002A4ED790781B88865CBFC72E754E1F3615F6B543F302ED2220BE64997805A8BA54E9BD7A90BBA7B329E164E5E7BD701097EX0GEL" TargetMode = "External"/>
	<Relationship Id="rId349" Type="http://schemas.openxmlformats.org/officeDocument/2006/relationships/hyperlink" Target="consultantplus://offline/ref=918229339C641C37AF1002A4ED790781B88865CBFC72E757E2F8615F6B543F302ED2220BE64997805A8BA54E9BD7A90BBA7B329E164E5E7BD701097EX0GEL" TargetMode = "External"/>
	<Relationship Id="rId350" Type="http://schemas.openxmlformats.org/officeDocument/2006/relationships/hyperlink" Target="consultantplus://offline/ref=918229339C641C37AF1002A4ED790781B88865CBFC72E754E1F5615F6B543F302ED2220BE64997805A8BA54E9BD7A90BBA7B329E164E5E7BD701097EX0GEL" TargetMode = "External"/>
	<Relationship Id="rId351" Type="http://schemas.openxmlformats.org/officeDocument/2006/relationships/hyperlink" Target="consultantplus://offline/ref=918229339C641C37AF1002A4ED790781B88865CBFC72E754E1F3615F6B543F302ED2220BE64997805A8BA54E9BD7A90BBA7B329E164E5E7BD701097EX0GEL" TargetMode = "External"/>
	<Relationship Id="rId352" Type="http://schemas.openxmlformats.org/officeDocument/2006/relationships/hyperlink" Target="consultantplus://offline/ref=918229339C641C37AF1002A4ED790781B88865CBFC72E754E1F3615F6B543F302ED2220BE64997805A8BA54E9BD7A90BBA7B329E164E5E7BD701097EX0GEL" TargetMode = "External"/>
	<Relationship Id="rId353" Type="http://schemas.openxmlformats.org/officeDocument/2006/relationships/hyperlink" Target="consultantplus://offline/ref=918229339C641C37AF1002A4ED790781B88865CBFC72E754E1F3615F6B543F302ED2220BE64997805A8BA54E9BD7A90BBA7B329E164E5E7BD701097EX0GEL" TargetMode = "External"/>
	<Relationship Id="rId354" Type="http://schemas.openxmlformats.org/officeDocument/2006/relationships/hyperlink" Target="consultantplus://offline/ref=918229339C641C37AF1002A4ED790781B88865CBFC72E754E1F3615F6B543F302ED2220BE64997805A8BA54E9BD7A90BBA7B329E164E5E7BD701097EX0GEL" TargetMode = "External"/>
	<Relationship Id="rId355" Type="http://schemas.openxmlformats.org/officeDocument/2006/relationships/hyperlink" Target="consultantplus://offline/ref=918229339C641C37AF1002A4ED790781B88865CBFC72E754E1F3615F6B543F302ED2220BE64997805A8BA54E9BD7A90BBA7B329E164E5E7BD701097EX0GEL" TargetMode = "External"/>
	<Relationship Id="rId356" Type="http://schemas.openxmlformats.org/officeDocument/2006/relationships/hyperlink" Target="consultantplus://offline/ref=918229339C641C37AF1002A4ED790781B88865CBFC72E754E1F3615F6B543F302ED2220BE64997805A8BA54E9BD7A90BBA7B329E164E5E7BD701097EX0GEL" TargetMode = "External"/>
	<Relationship Id="rId357" Type="http://schemas.openxmlformats.org/officeDocument/2006/relationships/hyperlink" Target="consultantplus://offline/ref=918229339C641C37AF1002A4ED790781B88865CBFC72E754E1F3615F6B543F302ED2220BE64997805A8BA54E9BD7A90BBA7B329E164E5E7BD701097EX0GEL" TargetMode = "External"/>
	<Relationship Id="rId358" Type="http://schemas.openxmlformats.org/officeDocument/2006/relationships/hyperlink" Target="consultantplus://offline/ref=918229339C641C37AF1002A4ED790781B88865CBFC72E754E1F3615F6B543F302ED2220BE64997805A8BA54E9BD7A90BBA7B329E164E5E7BD701097EX0GEL" TargetMode = "External"/>
	<Relationship Id="rId359" Type="http://schemas.openxmlformats.org/officeDocument/2006/relationships/hyperlink" Target="consultantplus://offline/ref=918229339C641C37AF1002A4ED790781B88865CBFC72E754E1F3615F6B543F302ED2220BE64997805A8BA54E9BD7A90BBA7B329E164E5E7BD701097EX0GEL" TargetMode = "External"/>
	<Relationship Id="rId360" Type="http://schemas.openxmlformats.org/officeDocument/2006/relationships/hyperlink" Target="consultantplus://offline/ref=918229339C641C37AF1002A4ED790781B88865CBFC72E754E1F3615F6B543F302ED2220BE64997805A8BA54E9BD7A90BBA7B329E164E5E7BD701097EX0GEL" TargetMode = "External"/>
	<Relationship Id="rId361" Type="http://schemas.openxmlformats.org/officeDocument/2006/relationships/hyperlink" Target="consultantplus://offline/ref=918229339C641C37AF1002A4ED790781B88865CBFC72E754E1F3615F6B543F302ED2220BE64997805A8BA54E9BD7A90BBA7B329E164E5E7BD701097EX0GEL" TargetMode = "External"/>
	<Relationship Id="rId362" Type="http://schemas.openxmlformats.org/officeDocument/2006/relationships/hyperlink" Target="consultantplus://offline/ref=918229339C641C37AF1002A4ED790781B88865CBFC72E754E1F3615F6B543F302ED2220BE64997805A8BA54E9BD7A90BBA7B329E164E5E7BD701097EX0GEL" TargetMode = "External"/>
	<Relationship Id="rId363" Type="http://schemas.openxmlformats.org/officeDocument/2006/relationships/hyperlink" Target="consultantplus://offline/ref=918229339C641C37AF1002A4ED790781B88865CBFC72E754E1F3615F6B543F302ED2220BE64997805A8BA54E9BD7A90BBA7B329E164E5E7BD701097EX0GEL" TargetMode = "External"/>
	<Relationship Id="rId364" Type="http://schemas.openxmlformats.org/officeDocument/2006/relationships/hyperlink" Target="consultantplus://offline/ref=918229339C641C37AF1002A4ED790781B88865CBFC72E754E1F3615F6B543F302ED2220BE64997805A8BA54E9BD7A90BBA7B329E164E5E7BD701097EX0GEL" TargetMode = "External"/>
	<Relationship Id="rId365" Type="http://schemas.openxmlformats.org/officeDocument/2006/relationships/hyperlink" Target="consultantplus://offline/ref=918229339C641C37AF1002A4ED790781B88865CBFC72E754E1F3615F6B543F302ED2220BE64997805A8BA54E9BD7A90BBA7B329E164E5E7BD701097EX0GEL" TargetMode = "External"/>
	<Relationship Id="rId366" Type="http://schemas.openxmlformats.org/officeDocument/2006/relationships/hyperlink" Target="consultantplus://offline/ref=918229339C641C37AF1002A4ED790781B88865CBFC72E754E1F3615F6B543F302ED2220BE64997805A8BA54E9BD7A90BBA7B329E164E5E7BD701097EX0GEL" TargetMode = "External"/>
	<Relationship Id="rId367" Type="http://schemas.openxmlformats.org/officeDocument/2006/relationships/hyperlink" Target="consultantplus://offline/ref=918229339C641C37AF1002A4ED790781B88865CBFC72E757E2F8615F6B543F302ED2220BE64997805A8BA54E9BD7A90BBA7B329E164E5E7BD701097EX0GEL" TargetMode = "External"/>
	<Relationship Id="rId368" Type="http://schemas.openxmlformats.org/officeDocument/2006/relationships/hyperlink" Target="consultantplus://offline/ref=918229339C641C37AF1002A4ED790781B88865CBFC72E757E0F0615F6B543F302ED2220BE64997805A8BA54E99D7A90BBA7B329E164E5E7BD701097EX0GEL" TargetMode = "External"/>
	<Relationship Id="rId369" Type="http://schemas.openxmlformats.org/officeDocument/2006/relationships/hyperlink" Target="consultantplus://offline/ref=918229339C641C37AF1002A4ED790781B88865CBFC72E757E0F0615F6B543F302ED2220BE64997805A8BA54E99D7A90BBA7B329E164E5E7BD701097EX0GEL" TargetMode = "External"/>
	<Relationship Id="rId370" Type="http://schemas.openxmlformats.org/officeDocument/2006/relationships/hyperlink" Target="consultantplus://offline/ref=918229339C641C37AF1002A4ED790781B88865CBFC72E754E1F3615F6B543F302ED2220BE64997805A8BA54E9BD7A90BBA7B329E164E5E7BD701097EX0GEL" TargetMode = "External"/>
	<Relationship Id="rId371" Type="http://schemas.openxmlformats.org/officeDocument/2006/relationships/hyperlink" Target="consultantplus://offline/ref=918229339C641C37AF1002A4ED790781B88865CBFC72E754E1F3615F6B543F302ED2220BE64997805A8BA54E9BD7A90BBA7B329E164E5E7BD701097EX0GEL" TargetMode = "External"/>
	<Relationship Id="rId372" Type="http://schemas.openxmlformats.org/officeDocument/2006/relationships/hyperlink" Target="consultantplus://offline/ref=918229339C641C37AF1002A4ED790781B88865CBFC72E754E1F3615F6B543F302ED2220BE64997805A8BA54E9BD7A90BBA7B329E164E5E7BD701097EX0GEL" TargetMode = "External"/>
	<Relationship Id="rId373" Type="http://schemas.openxmlformats.org/officeDocument/2006/relationships/hyperlink" Target="consultantplus://offline/ref=918229339C641C37AF1002A4ED790781B88865CBFC72E754E1F3615F6B543F302ED2220BE64997805A8BA54E9BD7A90BBA7B329E164E5E7BD701097EX0GEL" TargetMode = "External"/>
	<Relationship Id="rId374" Type="http://schemas.openxmlformats.org/officeDocument/2006/relationships/hyperlink" Target="consultantplus://offline/ref=918229339C641C37AF1002A4ED790781B88865CBFC72E754E1F3615F6B543F302ED2220BE64997805A8BA54E9BD7A90BBA7B329E164E5E7BD701097EX0GEL" TargetMode = "External"/>
	<Relationship Id="rId375" Type="http://schemas.openxmlformats.org/officeDocument/2006/relationships/hyperlink" Target="consultantplus://offline/ref=918229339C641C37AF1002A4ED790781B88865CBFC72E754E1F3615F6B543F302ED2220BE64997805A8BA54E9BD7A90BBA7B329E164E5E7BD701097EX0GEL" TargetMode = "External"/>
	<Relationship Id="rId376" Type="http://schemas.openxmlformats.org/officeDocument/2006/relationships/hyperlink" Target="consultantplus://offline/ref=918229339C641C37AF1002A4ED790781B88865CBFC72E757E0F0615F6B543F302ED2220BE64997805A8BA54E99D7A90BBA7B329E164E5E7BD701097EX0GEL" TargetMode = "External"/>
	<Relationship Id="rId377" Type="http://schemas.openxmlformats.org/officeDocument/2006/relationships/hyperlink" Target="consultantplus://offline/ref=918229339C641C37AF1002A4ED790781B88865CBFC72E754E1F3615F6B543F302ED2220BE64997805A8BA54E9BD7A90BBA7B329E164E5E7BD701097EX0GEL" TargetMode = "External"/>
	<Relationship Id="rId378" Type="http://schemas.openxmlformats.org/officeDocument/2006/relationships/hyperlink" Target="consultantplus://offline/ref=918229339C641C37AF1002A4ED790781B88865CBFC72E754E1F3615F6B543F302ED2220BE64997805A8BA54E9BD7A90BBA7B329E164E5E7BD701097EX0GEL" TargetMode = "External"/>
	<Relationship Id="rId379" Type="http://schemas.openxmlformats.org/officeDocument/2006/relationships/hyperlink" Target="consultantplus://offline/ref=918229339C641C37AF1002A4ED790781B88865CBFC72E754E1F3615F6B543F302ED2220BE64997805A8BA54E9BD7A90BBA7B329E164E5E7BD701097EX0GEL" TargetMode = "External"/>
	<Relationship Id="rId380" Type="http://schemas.openxmlformats.org/officeDocument/2006/relationships/hyperlink" Target="consultantplus://offline/ref=918229339C641C37AF1002A4ED790781B88865CBFC72E754E1F3615F6B543F302ED2220BE64997805A8BA54E9BD7A90BBA7B329E164E5E7BD701097EX0GEL" TargetMode = "External"/>
	<Relationship Id="rId381" Type="http://schemas.openxmlformats.org/officeDocument/2006/relationships/hyperlink" Target="consultantplus://offline/ref=918229339C641C37AF1002A4ED790781B88865CBFC72E754E1F3615F6B543F302ED2220BE64997805A8BA54E9BD7A90BBA7B329E164E5E7BD701097EX0GEL" TargetMode = "External"/>
	<Relationship Id="rId382" Type="http://schemas.openxmlformats.org/officeDocument/2006/relationships/hyperlink" Target="consultantplus://offline/ref=918229339C641C37AF1002A4ED790781B88865CBFC72E754E1F3615F6B543F302ED2220BE64997805A8BA54E9BD7A90BBA7B329E164E5E7BD701097EX0GEL" TargetMode = "External"/>
	<Relationship Id="rId383" Type="http://schemas.openxmlformats.org/officeDocument/2006/relationships/hyperlink" Target="consultantplus://offline/ref=918229339C641C37AF1002A4ED790781B88865CBFC72E754E1F3615F6B543F302ED2220BE64997805A8BA54E9BD7A90BBA7B329E164E5E7BD701097EX0GEL" TargetMode = "External"/>
	<Relationship Id="rId384" Type="http://schemas.openxmlformats.org/officeDocument/2006/relationships/hyperlink" Target="consultantplus://offline/ref=918229339C641C37AF1002A4ED790781B88865CBFC72E754E1F5615F6B543F302ED2220BE64997805A8BA54E9BD7A90BBA7B329E164E5E7BD701097EX0GEL" TargetMode = "External"/>
	<Relationship Id="rId385" Type="http://schemas.openxmlformats.org/officeDocument/2006/relationships/hyperlink" Target="consultantplus://offline/ref=918229339C641C37AF1002A4ED790781B88865CBFC72E757E0F0615F6B543F302ED2220BE64997805A8BA54E99D7A90BBA7B329E164E5E7BD701097EX0GEL" TargetMode = "External"/>
	<Relationship Id="rId386" Type="http://schemas.openxmlformats.org/officeDocument/2006/relationships/hyperlink" Target="consultantplus://offline/ref=918229339C641C37AF1002A4ED790781B88865CBFC72E754E1F3615F6B543F302ED2220BE64997805A8BA54E9BD7A90BBA7B329E164E5E7BD701097EX0GEL" TargetMode = "External"/>
	<Relationship Id="rId387" Type="http://schemas.openxmlformats.org/officeDocument/2006/relationships/hyperlink" Target="consultantplus://offline/ref=918229339C641C37AF1002A4ED790781B88865CBFC72E754E1F3615F6B543F302ED2220BE64997805A8BA54E9BD7A90BBA7B329E164E5E7BD701097EX0GEL" TargetMode = "External"/>
	<Relationship Id="rId388" Type="http://schemas.openxmlformats.org/officeDocument/2006/relationships/hyperlink" Target="consultantplus://offline/ref=918229339C641C37AF1002A4ED790781B88865CBFC72E754E1F3615F6B543F302ED2220BE64997805A8BA54E9BD7A90BBA7B329E164E5E7BD701097EX0GEL" TargetMode = "External"/>
	<Relationship Id="rId389" Type="http://schemas.openxmlformats.org/officeDocument/2006/relationships/hyperlink" Target="consultantplus://offline/ref=918229339C641C37AF1002A4ED790781B88865CBFC72E754E1F3615F6B543F302ED2220BE64997805A8BA54E9BD7A90BBA7B329E164E5E7BD701097EX0GEL" TargetMode = "External"/>
	<Relationship Id="rId390" Type="http://schemas.openxmlformats.org/officeDocument/2006/relationships/hyperlink" Target="consultantplus://offline/ref=918229339C641C37AF1002A4ED790781B88865CBFC72E754E1F3615F6B543F302ED2220BE64997805A8BA54E9BD7A90BBA7B329E164E5E7BD701097EX0GEL" TargetMode = "External"/>
	<Relationship Id="rId391" Type="http://schemas.openxmlformats.org/officeDocument/2006/relationships/hyperlink" Target="consultantplus://offline/ref=918229339C641C37AF1002A4ED790781B88865CBFC72E754E1F3615F6B543F302ED2220BE64997805A8BA54E9BD7A90BBA7B329E164E5E7BD701097EX0GEL" TargetMode = "External"/>
	<Relationship Id="rId392" Type="http://schemas.openxmlformats.org/officeDocument/2006/relationships/hyperlink" Target="consultantplus://offline/ref=918229339C641C37AF1002A4ED790781B88865CBFC72E754E1F3615F6B543F302ED2220BE64997805A8BA54E9BD7A90BBA7B329E164E5E7BD701097EX0GEL" TargetMode = "External"/>
	<Relationship Id="rId393" Type="http://schemas.openxmlformats.org/officeDocument/2006/relationships/hyperlink" Target="consultantplus://offline/ref=918229339C641C37AF1002A4ED790781B88865CBFC72E754E1F3615F6B543F302ED2220BE64997805A8BA54E9BD7A90BBA7B329E164E5E7BD701097EX0GEL" TargetMode = "External"/>
	<Relationship Id="rId394" Type="http://schemas.openxmlformats.org/officeDocument/2006/relationships/hyperlink" Target="consultantplus://offline/ref=918229339C641C37AF1002A4ED790781B88865CBFC72E754E1F3615F6B543F302ED2220BE64997805A8BA54E9BD7A90BBA7B329E164E5E7BD701097EX0GEL" TargetMode = "External"/>
	<Relationship Id="rId395" Type="http://schemas.openxmlformats.org/officeDocument/2006/relationships/hyperlink" Target="consultantplus://offline/ref=918229339C641C37AF1002A4ED790781B88865CBFC72E754E1F3615F6B543F302ED2220BE64997805A8BA54E9BD7A90BBA7B329E164E5E7BD701097EX0GEL" TargetMode = "External"/>
	<Relationship Id="rId396" Type="http://schemas.openxmlformats.org/officeDocument/2006/relationships/hyperlink" Target="consultantplus://offline/ref=918229339C641C37AF1002A4ED790781B88865CBFC72E754E1F3615F6B543F302ED2220BE64997805A8BA54E9BD7A90BBA7B329E164E5E7BD701097EX0GEL" TargetMode = "External"/>
	<Relationship Id="rId397" Type="http://schemas.openxmlformats.org/officeDocument/2006/relationships/hyperlink" Target="consultantplus://offline/ref=918229339C641C37AF1002A4ED790781B88865CBFC72E754E1F3615F6B543F302ED2220BE64997805A8BA54E9BD7A90BBA7B329E164E5E7BD701097EX0GEL" TargetMode = "External"/>
	<Relationship Id="rId398" Type="http://schemas.openxmlformats.org/officeDocument/2006/relationships/hyperlink" Target="consultantplus://offline/ref=918229339C641C37AF1002A4ED790781B88865CBFC72E754E1F3615F6B543F302ED2220BE64997805A8BA54E9BD7A90BBA7B329E164E5E7BD701097EX0GEL" TargetMode = "External"/>
	<Relationship Id="rId399" Type="http://schemas.openxmlformats.org/officeDocument/2006/relationships/hyperlink" Target="consultantplus://offline/ref=918229339C641C37AF1002A4ED790781B88865CBFC72E754E1F3615F6B543F302ED2220BE64997805A8BA54E9BD7A90BBA7B329E164E5E7BD701097EX0GEL" TargetMode = "External"/>
	<Relationship Id="rId400" Type="http://schemas.openxmlformats.org/officeDocument/2006/relationships/hyperlink" Target="consultantplus://offline/ref=918229339C641C37AF1002A4ED790781B88865CBFC72E754E1F3615F6B543F302ED2220BE64997805A8BA54E9BD7A90BBA7B329E164E5E7BD701097EX0GEL" TargetMode = "External"/>
	<Relationship Id="rId401" Type="http://schemas.openxmlformats.org/officeDocument/2006/relationships/hyperlink" Target="consultantplus://offline/ref=918229339C641C37AF1002A4ED790781B88865CBFC72E754E1F3615F6B543F302ED2220BE64997805A8BA54E9BD7A90BBA7B329E164E5E7BD701097EX0GEL" TargetMode = "External"/>
	<Relationship Id="rId402" Type="http://schemas.openxmlformats.org/officeDocument/2006/relationships/hyperlink" Target="consultantplus://offline/ref=918229339C641C37AF1002A4ED790781B88865CBFC72E754E1F3615F6B543F302ED2220BE64997805A8BA54E9BD7A90BBA7B329E164E5E7BD701097EX0GEL" TargetMode = "External"/>
	<Relationship Id="rId403" Type="http://schemas.openxmlformats.org/officeDocument/2006/relationships/hyperlink" Target="consultantplus://offline/ref=918229339C641C37AF1002A4ED790781B88865CBFC72E754E1F3615F6B543F302ED2220BE64997805A8BA54E9BD7A90BBA7B329E164E5E7BD701097EX0GEL" TargetMode = "External"/>
	<Relationship Id="rId404" Type="http://schemas.openxmlformats.org/officeDocument/2006/relationships/hyperlink" Target="consultantplus://offline/ref=918229339C641C37AF1002A4ED790781B88865CBFC72E757E2F8615F6B543F302ED2220BE64997805A8BA54E9BD7A90BBA7B329E164E5E7BD701097EX0GEL" TargetMode = "External"/>
	<Relationship Id="rId405" Type="http://schemas.openxmlformats.org/officeDocument/2006/relationships/hyperlink" Target="consultantplus://offline/ref=918229339C641C37AF1002A4ED790781B88865CBFC72E754E1F3615F6B543F302ED2220BE64997805A8BA54E9BD7A90BBA7B329E164E5E7BD701097EX0GEL" TargetMode = "External"/>
	<Relationship Id="rId406" Type="http://schemas.openxmlformats.org/officeDocument/2006/relationships/hyperlink" Target="consultantplus://offline/ref=918229339C641C37AF1002A4ED790781B88865CBFC72E754E1F3615F6B543F302ED2220BE64997805A8BA54E9BD7A90BBA7B329E164E5E7BD701097EX0GEL" TargetMode = "External"/>
	<Relationship Id="rId407" Type="http://schemas.openxmlformats.org/officeDocument/2006/relationships/hyperlink" Target="consultantplus://offline/ref=918229339C641C37AF1002A4ED790781B88865CBFC72E754E1F3615F6B543F302ED2220BE64997805A8BA54E9BD7A90BBA7B329E164E5E7BD701097EX0GEL" TargetMode = "External"/>
	<Relationship Id="rId408" Type="http://schemas.openxmlformats.org/officeDocument/2006/relationships/hyperlink" Target="consultantplus://offline/ref=918229339C641C37AF1002A4ED790781B88865CBFC72E754E1F3615F6B543F302ED2220BE64997805A8BA54E9BD7A90BBA7B329E164E5E7BD701097EX0GEL" TargetMode = "External"/>
	<Relationship Id="rId409" Type="http://schemas.openxmlformats.org/officeDocument/2006/relationships/hyperlink" Target="consultantplus://offline/ref=918229339C641C37AF1002A4ED790781B88865CBFC72E754E1F3615F6B543F302ED2220BE64997805A8BA54E9BD7A90BBA7B329E164E5E7BD701097EX0GEL" TargetMode = "External"/>
	<Relationship Id="rId410" Type="http://schemas.openxmlformats.org/officeDocument/2006/relationships/hyperlink" Target="consultantplus://offline/ref=918229339C641C37AF1002A4ED790781B88865CBFC72E754E1F5615F6B543F302ED2220BE64997805A8BA54E9BD7A90BBA7B329E164E5E7BD701097EX0GEL" TargetMode = "External"/>
	<Relationship Id="rId411" Type="http://schemas.openxmlformats.org/officeDocument/2006/relationships/hyperlink" Target="consultantplus://offline/ref=918229339C641C37AF1002A4ED790781B88865CBFC72E754E1F5615F6B543F302ED2220BE64997805A8BA54E9BD7A90BBA7B329E164E5E7BD701097EX0GEL" TargetMode = "External"/>
	<Relationship Id="rId412" Type="http://schemas.openxmlformats.org/officeDocument/2006/relationships/hyperlink" Target="consultantplus://offline/ref=918229339C641C37AF1002A4ED790781B88865CBFC72E757E0F0615F6B543F302ED2220BE64997805A8BA54E99D7A90BBA7B329E164E5E7BD701097EX0GEL" TargetMode = "External"/>
	<Relationship Id="rId413" Type="http://schemas.openxmlformats.org/officeDocument/2006/relationships/hyperlink" Target="consultantplus://offline/ref=918229339C641C37AF1002A4ED790781B88865CBFC72E757E0F0615F6B543F302ED2220BE64997805A8BA54E99D7A90BBA7B329E164E5E7BD701097EX0GEL" TargetMode = "External"/>
	<Relationship Id="rId414" Type="http://schemas.openxmlformats.org/officeDocument/2006/relationships/hyperlink" Target="consultantplus://offline/ref=918229339C641C37AF1002A4ED790781B88865CBFC72E757E0F0615F6B543F302ED2220BE64997805A8BA54E99D7A90BBA7B329E164E5E7BD701097EX0GEL" TargetMode = "External"/>
	<Relationship Id="rId415" Type="http://schemas.openxmlformats.org/officeDocument/2006/relationships/hyperlink" Target="consultantplus://offline/ref=918229339C641C37AF1002A4ED790781B88865CBFC7FE853E5F4615F6B543F302ED2220BE64997805A8AA5479BD7A90BBA7B329E164E5E7BD701097EX0GEL" TargetMode = "External"/>
	<Relationship Id="rId416" Type="http://schemas.openxmlformats.org/officeDocument/2006/relationships/hyperlink" Target="consultantplus://offline/ref=918229339C641C37AF1002A4ED790781B88865CBFC7DEF54E7F3615F6B543F302ED2220BE64997805A8BA44F9ED7A90BBA7B329E164E5E7BD701097EX0GEL" TargetMode = "External"/>
	<Relationship Id="rId417" Type="http://schemas.openxmlformats.org/officeDocument/2006/relationships/hyperlink" Target="consultantplus://offline/ref=918229339C641C37AF1002A4ED790781B88865CBFC72E754E1F3615F6B543F302ED2220BE6499783528DA644CD8DB90FF32C398211514178C901X0GAL" TargetMode = "External"/>
	<Relationship Id="rId418" Type="http://schemas.openxmlformats.org/officeDocument/2006/relationships/hyperlink" Target="consultantplus://offline/ref=918229339C641C37AF101CA9FB15508EBA853BC0FB79E503BBA46708340439656E92245EA30A92865980F11EDD89F058F8303E9D0E525F78XCGAL" TargetMode = "External"/>
	<Relationship Id="rId419" Type="http://schemas.openxmlformats.org/officeDocument/2006/relationships/hyperlink" Target="consultantplus://offline/ref=918229339C641C37AF101CA9FB15508EBA853BC0FB79E503BBA46708340439656E92245EA30A92895F80F11EDD89F058F8303E9D0E525F78XCGAL" TargetMode = "External"/>
	<Relationship Id="rId420" Type="http://schemas.openxmlformats.org/officeDocument/2006/relationships/hyperlink" Target="consultantplus://offline/ref=918229339C641C37AF101CA9FB15508EBA853BC0FB79E503BBA46708340439656E92245EA30A92895280F11EDD89F058F8303E9D0E525F78XCGAL" TargetMode = "External"/>
	<Relationship Id="rId421" Type="http://schemas.openxmlformats.org/officeDocument/2006/relationships/hyperlink" Target="consultantplus://offline/ref=918229339C641C37AF1002A4ED790781B88865CBFC72E754E1F3615F6B543F302ED2220BE64997805E8DAC44CD8DB90FF32C398211514178C901X0GAL" TargetMode = "External"/>
	<Relationship Id="rId422" Type="http://schemas.openxmlformats.org/officeDocument/2006/relationships/hyperlink" Target="consultantplus://offline/ref=918229339C641C37AF1002A4ED790781B88865CBFC7DE955E5F9615F6B543F302ED2220BE64997805B82AE1BC898A857FC28219D114E5D7ACBX0G0L" TargetMode = "External"/>
	<Relationship Id="rId423" Type="http://schemas.openxmlformats.org/officeDocument/2006/relationships/hyperlink" Target="consultantplus://offline/ref=918229339C641C37AF1002A4ED790781B88865CBFC72E75CE3F5615F6B543F302ED2220BE64997805A8BA54C9ED7A90BBA7B329E164E5E7BD701097EX0GEL" TargetMode = "External"/>
	<Relationship Id="rId424" Type="http://schemas.openxmlformats.org/officeDocument/2006/relationships/hyperlink" Target="consultantplus://offline/ref=918229339C641C37AF1002A4ED790781B88865CBFC72E754E1F3615F6B543F302ED2220BE64997805E8DAC44CD8DB90FF32C398211514178C901X0GAL" TargetMode = "External"/>
	<Relationship Id="rId425" Type="http://schemas.openxmlformats.org/officeDocument/2006/relationships/hyperlink" Target="consultantplus://offline/ref=918229339C641C37AF1002A4ED790781B88865CBFC72E754E1F3615F6B543F302ED2220BE64997805E8DAC44CD8DB90FF32C398211514178C901X0GAL" TargetMode = "External"/>
	<Relationship Id="rId426" Type="http://schemas.openxmlformats.org/officeDocument/2006/relationships/hyperlink" Target="consultantplus://offline/ref=918229339C641C37AF1002A4ED790781B88865CBFC72E75CE3F5615F6B543F302ED2220BE64997805A8BA54990D7A90BBA7B329E164E5E7BD701097EX0GEL" TargetMode = "External"/>
	<Relationship Id="rId427" Type="http://schemas.openxmlformats.org/officeDocument/2006/relationships/hyperlink" Target="consultantplus://offline/ref=918229339C641C37AF1002A4ED790781B88865CBFC72E75CE3F5615F6B543F302ED2220BE64997805A8BA54790D7A90BBA7B329E164E5E7BD701097EX0GEL" TargetMode = "External"/>
	<Relationship Id="rId428" Type="http://schemas.openxmlformats.org/officeDocument/2006/relationships/hyperlink" Target="consultantplus://offline/ref=918229339C641C37AF1002A4ED790781B88865CBFC72E75CE3F5615F6B543F302ED2220BE64997805A8BA54990D7A90BBA7B329E164E5E7BD701097EX0GEL" TargetMode = "External"/>
	<Relationship Id="rId429" Type="http://schemas.openxmlformats.org/officeDocument/2006/relationships/hyperlink" Target="consultantplus://offline/ref=918229339C641C37AF1002A4ED790781B88865CBFC72E75CE3F5615F6B543F302ED2220BE64997805A8BA54790D7A90BBA7B329E164E5E7BD701097EX0GEL" TargetMode = "External"/>
	<Relationship Id="rId430" Type="http://schemas.openxmlformats.org/officeDocument/2006/relationships/hyperlink" Target="consultantplus://offline/ref=918229339C641C37AF1002A4ED790781B88865CBFC72E75CE3F5615F6B543F302ED2220BE64997805A8BA54691D7A90BBA7B329E164E5E7BD701097EX0GEL" TargetMode = "External"/>
	<Relationship Id="rId431" Type="http://schemas.openxmlformats.org/officeDocument/2006/relationships/hyperlink" Target="consultantplus://offline/ref=918229339C641C37AF1002A4ED790781B88865CBFC72E75CE3F5615F6B543F302ED2220BE64997805A8BA54990D7A90BBA7B329E164E5E7BD701097EX0GEL" TargetMode = "External"/>
	<Relationship Id="rId432" Type="http://schemas.openxmlformats.org/officeDocument/2006/relationships/hyperlink" Target="consultantplus://offline/ref=918229339C641C37AF1002A4ED790781B88865CBFC72E75CE3F5615F6B543F302ED2220BE64997805A8BA54790D7A90BBA7B329E164E5E7BD701097EX0GEL" TargetMode = "External"/>
	<Relationship Id="rId433" Type="http://schemas.openxmlformats.org/officeDocument/2006/relationships/hyperlink" Target="consultantplus://offline/ref=918229339C641C37AF1002A4ED790781B88865CBFC72E75CE3F5615F6B543F302ED2220BE64997805A8BA54E99D7A90BBA7B329E164E5E7BD701097EX0G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30.12.2021 N 640-п
(ред. от 06.10.2023)
"О мерах по реализации государственной программы Ханты-Мансийского автономного округа - Югры "Культурное пространство"
(вместе с "Порядком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dc:title>
  <dcterms:created xsi:type="dcterms:W3CDTF">2023-11-26T11:06:23Z</dcterms:created>
</cp:coreProperties>
</file>